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39416" w14:textId="77777777" w:rsidR="00343643" w:rsidRPr="00F2358E" w:rsidRDefault="00343643" w:rsidP="00343643">
      <w:pPr>
        <w:pStyle w:val="Heading1"/>
        <w:rPr>
          <w:rFonts w:ascii="Times New Roman" w:hAnsi="Times New Roman" w:cs="Times New Roman"/>
        </w:rPr>
      </w:pPr>
      <w:r w:rsidRPr="00F2358E">
        <w:rPr>
          <w:rFonts w:ascii="Times New Roman" w:hAnsi="Times New Roman" w:cs="Times New Roman"/>
        </w:rPr>
        <w:t>Course Number - Name</w:t>
      </w:r>
    </w:p>
    <w:p w14:paraId="4DD4DAB2" w14:textId="77777777" w:rsidR="00FB4BD2" w:rsidRPr="00F2358E" w:rsidRDefault="00FB4BD2" w:rsidP="00F2358E">
      <w:pPr>
        <w:pStyle w:val="Heading2"/>
      </w:pPr>
      <w:r w:rsidRPr="00F2358E">
        <w:t>Math and Quantitative Reasoning</w:t>
      </w:r>
    </w:p>
    <w:p w14:paraId="79D6BC2C" w14:textId="77777777" w:rsidR="0067675A" w:rsidRPr="00F2358E" w:rsidRDefault="0067675A" w:rsidP="00F2358E">
      <w:pPr>
        <w:pStyle w:val="Normal0"/>
      </w:pPr>
      <w:r w:rsidRPr="00F2358E">
        <w:t>Instructor Name:</w:t>
      </w:r>
    </w:p>
    <w:p w14:paraId="3DFDD833" w14:textId="77777777" w:rsidR="0067675A" w:rsidRPr="00F2358E" w:rsidRDefault="0067675A" w:rsidP="00F2358E">
      <w:pPr>
        <w:pStyle w:val="Normal0"/>
      </w:pPr>
      <w:r w:rsidRPr="00F2358E">
        <w:t>Office:</w:t>
      </w:r>
    </w:p>
    <w:p w14:paraId="4E5BEBE0" w14:textId="77777777" w:rsidR="0067675A" w:rsidRPr="00F2358E" w:rsidRDefault="0067675A" w:rsidP="00F2358E">
      <w:pPr>
        <w:pStyle w:val="Normal0"/>
      </w:pPr>
      <w:r w:rsidRPr="00F2358E">
        <w:t>Office Hours: TBD</w:t>
      </w:r>
    </w:p>
    <w:p w14:paraId="3774D7ED" w14:textId="77777777" w:rsidR="0067675A" w:rsidRPr="00F2358E" w:rsidRDefault="0067675A" w:rsidP="00F2358E">
      <w:pPr>
        <w:pStyle w:val="Normal0"/>
        <w:rPr>
          <w:b/>
        </w:rPr>
      </w:pPr>
      <w:r w:rsidRPr="00F2358E">
        <w:t>Email:</w:t>
      </w:r>
    </w:p>
    <w:p w14:paraId="188C79FD" w14:textId="77777777" w:rsidR="00343643" w:rsidRPr="00F2358E" w:rsidRDefault="00343643" w:rsidP="0067675A">
      <w:pPr>
        <w:pStyle w:val="Heading2"/>
        <w:rPr>
          <w:rStyle w:val="BookTitle"/>
          <w:rFonts w:ascii="Times New Roman" w:eastAsia="Times" w:hAnsi="Times New Roman" w:cs="Times New Roman"/>
          <w:b/>
          <w:bCs w:val="0"/>
          <w:smallCaps w:val="0"/>
          <w:color w:val="212121"/>
          <w:u w:val="none"/>
        </w:rPr>
      </w:pPr>
      <w:r w:rsidRPr="00F2358E">
        <w:rPr>
          <w:rStyle w:val="BookTitle"/>
          <w:rFonts w:ascii="Times New Roman" w:eastAsia="Times" w:hAnsi="Times New Roman" w:cs="Times New Roman"/>
          <w:b/>
          <w:bCs w:val="0"/>
          <w:smallCaps w:val="0"/>
          <w:color w:val="212121"/>
          <w:u w:val="none"/>
        </w:rPr>
        <w:t xml:space="preserve">Course Description: </w:t>
      </w:r>
    </w:p>
    <w:p w14:paraId="60309F0C" w14:textId="77777777" w:rsidR="00601DF4" w:rsidRPr="00E169BE" w:rsidRDefault="00601DF4" w:rsidP="00F2358E">
      <w:pPr>
        <w:pStyle w:val="Heading3"/>
        <w:rPr>
          <w:b w:val="0"/>
          <w:color w:val="990000"/>
          <w:sz w:val="22"/>
        </w:rPr>
      </w:pPr>
      <w:r w:rsidRPr="00E169BE">
        <w:rPr>
          <w:b w:val="0"/>
          <w:color w:val="990000"/>
          <w:sz w:val="22"/>
        </w:rPr>
        <w:t>Should conform to the official description for the course. (If a description needs revision, then a new course description may be submitted according to the procedures with undergraduate and graduate course approvals).</w:t>
      </w:r>
    </w:p>
    <w:p w14:paraId="44527BC8" w14:textId="77777777" w:rsidR="004E49DD" w:rsidRPr="00E169BE" w:rsidRDefault="00601DF4" w:rsidP="00F2358E">
      <w:pPr>
        <w:pStyle w:val="Heading3"/>
        <w:rPr>
          <w:b w:val="0"/>
          <w:color w:val="990000"/>
          <w:sz w:val="22"/>
        </w:rPr>
      </w:pPr>
      <w:r w:rsidRPr="00E169BE">
        <w:rPr>
          <w:b w:val="0"/>
          <w:color w:val="990000"/>
          <w:sz w:val="22"/>
        </w:rPr>
        <w:t xml:space="preserve">Course Prerequisites (if applicable): Clear description of prerequisite coursework or knowledge expected prior to the start of the course. </w:t>
      </w:r>
    </w:p>
    <w:p w14:paraId="2B637B21" w14:textId="77777777" w:rsidR="00343643" w:rsidRPr="00F2358E" w:rsidRDefault="00343643" w:rsidP="00F2358E">
      <w:pPr>
        <w:pStyle w:val="Heading3"/>
      </w:pPr>
      <w:r w:rsidRPr="00F2358E">
        <w:rPr>
          <w:rStyle w:val="BookTitle"/>
          <w:rFonts w:ascii="Times New Roman" w:eastAsia="Times" w:hAnsi="Times New Roman" w:cs="Times New Roman"/>
          <w:b/>
          <w:bCs w:val="0"/>
          <w:smallCaps w:val="0"/>
          <w:u w:val="none"/>
        </w:rPr>
        <w:t>Student Learning Outcomes:</w:t>
      </w:r>
    </w:p>
    <w:p w14:paraId="227761CE" w14:textId="77777777" w:rsidR="00343643" w:rsidRPr="00E169BE" w:rsidRDefault="00343643" w:rsidP="00F2358E">
      <w:pPr>
        <w:pStyle w:val="Normal0"/>
        <w:rPr>
          <w:color w:val="990000"/>
        </w:rPr>
      </w:pPr>
      <w:r w:rsidRPr="00E169BE">
        <w:rPr>
          <w:color w:val="990000"/>
        </w:rPr>
        <w:t>Assignments should be linked to each of the student learning outcomes being assessed. A single assignment may be used to assess more than one learning outcome, and an outcome may be assessed by more than one assignment.</w:t>
      </w:r>
    </w:p>
    <w:p w14:paraId="58EFD3E2" w14:textId="77777777" w:rsidR="00343643" w:rsidRPr="00126344" w:rsidRDefault="00343643" w:rsidP="00F2358E">
      <w:pPr>
        <w:pStyle w:val="Normal0"/>
      </w:pPr>
      <w:r w:rsidRPr="00126344">
        <w:t xml:space="preserve">Having </w:t>
      </w:r>
      <w:r w:rsidR="004E49DD" w:rsidRPr="00126344">
        <w:t xml:space="preserve">completed the </w:t>
      </w:r>
      <w:r w:rsidR="00FB4BD2" w:rsidRPr="00126344">
        <w:t>Math and Quantitative Reasoning course</w:t>
      </w:r>
      <w:r w:rsidRPr="00126344">
        <w:t>, students will be able to:</w:t>
      </w:r>
    </w:p>
    <w:tbl>
      <w:tblPr>
        <w:tblStyle w:val="TableGrid"/>
        <w:tblW w:w="10687" w:type="dxa"/>
        <w:tblInd w:w="108" w:type="dxa"/>
        <w:tblLayout w:type="fixed"/>
        <w:tblLook w:val="04A0" w:firstRow="1" w:lastRow="0" w:firstColumn="1" w:lastColumn="0" w:noHBand="0" w:noVBand="1"/>
        <w:tblCaption w:val="Learning Outcomes, Map, Instructional Strategies, Assessments"/>
      </w:tblPr>
      <w:tblGrid>
        <w:gridCol w:w="4747"/>
        <w:gridCol w:w="5940"/>
      </w:tblGrid>
      <w:tr w:rsidR="00343643" w:rsidRPr="00F2358E" w14:paraId="5ED91084" w14:textId="77777777" w:rsidTr="00601DF4">
        <w:trPr>
          <w:tblHeader/>
        </w:trPr>
        <w:tc>
          <w:tcPr>
            <w:tcW w:w="4747" w:type="dxa"/>
            <w:shd w:val="clear" w:color="auto" w:fill="000000" w:themeFill="text1"/>
          </w:tcPr>
          <w:p w14:paraId="03A059D9" w14:textId="77777777" w:rsidR="00343643" w:rsidRPr="00F2358E" w:rsidRDefault="00343643" w:rsidP="00601DF4">
            <w:pPr>
              <w:tabs>
                <w:tab w:val="left" w:pos="2580"/>
                <w:tab w:val="center" w:pos="4320"/>
              </w:tabs>
              <w:jc w:val="center"/>
              <w:rPr>
                <w:rFonts w:ascii="Times New Roman" w:hAnsi="Times New Roman" w:cs="Times New Roman"/>
                <w:b/>
                <w:color w:val="FFFFFF"/>
              </w:rPr>
            </w:pPr>
            <w:r w:rsidRPr="00F2358E">
              <w:rPr>
                <w:rFonts w:ascii="Times New Roman" w:hAnsi="Times New Roman" w:cs="Times New Roman"/>
                <w:b/>
                <w:color w:val="FFFFFF"/>
              </w:rPr>
              <w:t>Learning Outcomes</w:t>
            </w:r>
          </w:p>
        </w:tc>
        <w:tc>
          <w:tcPr>
            <w:tcW w:w="5940" w:type="dxa"/>
            <w:shd w:val="clear" w:color="auto" w:fill="000000" w:themeFill="text1"/>
          </w:tcPr>
          <w:p w14:paraId="39A39E04" w14:textId="77777777" w:rsidR="00343643" w:rsidRPr="00F2358E" w:rsidRDefault="00343643" w:rsidP="00601DF4">
            <w:pPr>
              <w:tabs>
                <w:tab w:val="left" w:pos="2580"/>
                <w:tab w:val="center" w:pos="4320"/>
              </w:tabs>
              <w:jc w:val="center"/>
              <w:rPr>
                <w:rFonts w:ascii="Times New Roman" w:hAnsi="Times New Roman" w:cs="Times New Roman"/>
                <w:b/>
                <w:color w:val="FFFFFF"/>
              </w:rPr>
            </w:pPr>
            <w:r w:rsidRPr="00F2358E">
              <w:rPr>
                <w:rFonts w:ascii="Times New Roman" w:hAnsi="Times New Roman" w:cs="Times New Roman"/>
                <w:b/>
                <w:color w:val="FFFFFF"/>
              </w:rPr>
              <w:t xml:space="preserve">Student Achievement of this Learning Outcome </w:t>
            </w:r>
          </w:p>
          <w:p w14:paraId="54F1E488" w14:textId="77777777" w:rsidR="00343643" w:rsidRPr="00F2358E" w:rsidRDefault="00343643" w:rsidP="00601DF4">
            <w:pPr>
              <w:tabs>
                <w:tab w:val="left" w:pos="2580"/>
                <w:tab w:val="center" w:pos="4320"/>
              </w:tabs>
              <w:jc w:val="center"/>
              <w:rPr>
                <w:rFonts w:ascii="Times New Roman" w:hAnsi="Times New Roman" w:cs="Times New Roman"/>
                <w:b/>
                <w:color w:val="FFFFFF"/>
              </w:rPr>
            </w:pPr>
            <w:r w:rsidRPr="00F2358E">
              <w:rPr>
                <w:rFonts w:ascii="Times New Roman" w:hAnsi="Times New Roman" w:cs="Times New Roman"/>
                <w:b/>
                <w:color w:val="FFFFFF"/>
              </w:rPr>
              <w:t>will be Assessed by:</w:t>
            </w:r>
          </w:p>
        </w:tc>
      </w:tr>
      <w:tr w:rsidR="004E49DD" w:rsidRPr="00F2358E" w14:paraId="01521348" w14:textId="77777777" w:rsidTr="00601DF4">
        <w:tc>
          <w:tcPr>
            <w:tcW w:w="4747" w:type="dxa"/>
          </w:tcPr>
          <w:p w14:paraId="485B935C" w14:textId="77777777" w:rsidR="003A474D" w:rsidRPr="00126344" w:rsidRDefault="00FB4BD2" w:rsidP="00C47438">
            <w:pPr>
              <w:pStyle w:val="ListParagraph"/>
              <w:numPr>
                <w:ilvl w:val="0"/>
                <w:numId w:val="12"/>
              </w:numPr>
              <w:rPr>
                <w:rFonts w:ascii="Times New Roman" w:hAnsi="Times New Roman" w:cs="Times New Roman"/>
                <w:color w:val="000000"/>
                <w:sz w:val="22"/>
              </w:rPr>
            </w:pPr>
            <w:r w:rsidRPr="00126344">
              <w:rPr>
                <w:rFonts w:ascii="Times New Roman" w:hAnsi="Times New Roman" w:cs="Times New Roman"/>
                <w:color w:val="000000"/>
                <w:sz w:val="22"/>
              </w:rPr>
              <w:t xml:space="preserve">Choose appropriate methods or models for a given problem, using information from </w:t>
            </w:r>
            <w:r w:rsidR="00C47438">
              <w:rPr>
                <w:rFonts w:ascii="Times New Roman" w:hAnsi="Times New Roman" w:cs="Times New Roman"/>
                <w:color w:val="000000"/>
                <w:sz w:val="22"/>
              </w:rPr>
              <w:t>observation or</w:t>
            </w:r>
            <w:r w:rsidRPr="00126344">
              <w:rPr>
                <w:rFonts w:ascii="Times New Roman" w:hAnsi="Times New Roman" w:cs="Times New Roman"/>
                <w:color w:val="000000"/>
                <w:sz w:val="22"/>
              </w:rPr>
              <w:t xml:space="preserve"> knowledge of the system being studied. </w:t>
            </w:r>
          </w:p>
        </w:tc>
        <w:tc>
          <w:tcPr>
            <w:tcW w:w="5940" w:type="dxa"/>
          </w:tcPr>
          <w:p w14:paraId="7C31107A" w14:textId="77777777" w:rsidR="004E49DD" w:rsidRPr="00F2358E" w:rsidRDefault="004E49DD" w:rsidP="00F2358E">
            <w:pPr>
              <w:pStyle w:val="NoSpacing"/>
            </w:pPr>
          </w:p>
        </w:tc>
      </w:tr>
      <w:tr w:rsidR="004E49DD" w:rsidRPr="00F2358E" w14:paraId="05CAED62" w14:textId="77777777" w:rsidTr="00601DF4">
        <w:tc>
          <w:tcPr>
            <w:tcW w:w="4747" w:type="dxa"/>
          </w:tcPr>
          <w:p w14:paraId="44BA677B" w14:textId="77777777" w:rsidR="003A474D" w:rsidRPr="00126344" w:rsidRDefault="00FB4BD2" w:rsidP="00FB4BD2">
            <w:pPr>
              <w:pStyle w:val="ListParagraph"/>
              <w:numPr>
                <w:ilvl w:val="0"/>
                <w:numId w:val="12"/>
              </w:numPr>
              <w:rPr>
                <w:rFonts w:ascii="Times New Roman" w:hAnsi="Times New Roman" w:cs="Times New Roman"/>
                <w:color w:val="000000"/>
                <w:sz w:val="22"/>
              </w:rPr>
            </w:pPr>
            <w:r w:rsidRPr="00126344">
              <w:rPr>
                <w:rFonts w:ascii="Times New Roman" w:hAnsi="Times New Roman" w:cs="Times New Roman"/>
                <w:color w:val="000000"/>
                <w:sz w:val="22"/>
              </w:rPr>
              <w:t xml:space="preserve">Employ quantitative methods, mathematical models, statistics, and/or logic to analyze data and solve real-world problems beyond the level of basic algebra. </w:t>
            </w:r>
          </w:p>
        </w:tc>
        <w:tc>
          <w:tcPr>
            <w:tcW w:w="5940" w:type="dxa"/>
          </w:tcPr>
          <w:p w14:paraId="3E20A79C" w14:textId="77777777" w:rsidR="004E49DD" w:rsidRPr="00F2358E" w:rsidRDefault="004E49DD" w:rsidP="00F2358E">
            <w:pPr>
              <w:pStyle w:val="NoSpacing"/>
            </w:pPr>
          </w:p>
        </w:tc>
      </w:tr>
      <w:tr w:rsidR="004E49DD" w:rsidRPr="00F2358E" w14:paraId="1FB7F474" w14:textId="77777777" w:rsidTr="00601DF4">
        <w:tc>
          <w:tcPr>
            <w:tcW w:w="4747" w:type="dxa"/>
          </w:tcPr>
          <w:p w14:paraId="550176AE" w14:textId="77777777" w:rsidR="004E49DD" w:rsidRPr="00126344" w:rsidRDefault="00860997" w:rsidP="00860997">
            <w:pPr>
              <w:pStyle w:val="ListParagraph"/>
              <w:numPr>
                <w:ilvl w:val="0"/>
                <w:numId w:val="12"/>
              </w:numPr>
              <w:rPr>
                <w:rFonts w:ascii="Times New Roman" w:hAnsi="Times New Roman" w:cs="Times New Roman"/>
                <w:color w:val="000000"/>
                <w:sz w:val="22"/>
              </w:rPr>
            </w:pPr>
            <w:r w:rsidRPr="00860997">
              <w:rPr>
                <w:rFonts w:ascii="Times New Roman" w:hAnsi="Times New Roman" w:cs="Times New Roman"/>
                <w:color w:val="000000"/>
                <w:sz w:val="22"/>
              </w:rPr>
              <w:t>Identify common mistakes and/or limitations in a.) empirical and/or deductive reasoning, and b.) mathematical, quantitative, and/or logical problem solving.</w:t>
            </w:r>
          </w:p>
        </w:tc>
        <w:tc>
          <w:tcPr>
            <w:tcW w:w="5940" w:type="dxa"/>
          </w:tcPr>
          <w:p w14:paraId="3432E640" w14:textId="77777777" w:rsidR="004E49DD" w:rsidRPr="00F2358E" w:rsidRDefault="004E49DD" w:rsidP="00F2358E">
            <w:pPr>
              <w:pStyle w:val="NoSpacing"/>
            </w:pPr>
          </w:p>
        </w:tc>
      </w:tr>
      <w:tr w:rsidR="004E49DD" w:rsidRPr="00F2358E" w14:paraId="33AFB255" w14:textId="77777777" w:rsidTr="00601DF4">
        <w:tc>
          <w:tcPr>
            <w:tcW w:w="4747" w:type="dxa"/>
          </w:tcPr>
          <w:p w14:paraId="6F29B964" w14:textId="77777777" w:rsidR="004E49DD" w:rsidRPr="00126344" w:rsidRDefault="00FB4BD2" w:rsidP="00FB4BD2">
            <w:pPr>
              <w:pStyle w:val="ListParagraph"/>
              <w:numPr>
                <w:ilvl w:val="0"/>
                <w:numId w:val="12"/>
              </w:numPr>
              <w:rPr>
                <w:rFonts w:ascii="Times New Roman" w:hAnsi="Times New Roman" w:cs="Times New Roman"/>
                <w:color w:val="000000"/>
                <w:sz w:val="22"/>
              </w:rPr>
            </w:pPr>
            <w:r w:rsidRPr="00126344">
              <w:rPr>
                <w:rFonts w:ascii="Times New Roman" w:hAnsi="Times New Roman" w:cs="Times New Roman"/>
                <w:color w:val="000000"/>
                <w:sz w:val="22"/>
              </w:rPr>
              <w:t xml:space="preserve">Interpret mathematical models, formulas, graphs, and/or tables, to draw inferences from them, and explain these inferences. </w:t>
            </w:r>
          </w:p>
        </w:tc>
        <w:tc>
          <w:tcPr>
            <w:tcW w:w="5940" w:type="dxa"/>
          </w:tcPr>
          <w:p w14:paraId="2EBA1476" w14:textId="77777777" w:rsidR="004E49DD" w:rsidRPr="00F2358E" w:rsidRDefault="004E49DD" w:rsidP="00F2358E">
            <w:pPr>
              <w:pStyle w:val="NoSpacing"/>
            </w:pPr>
          </w:p>
        </w:tc>
      </w:tr>
    </w:tbl>
    <w:p w14:paraId="76593AF2" w14:textId="77777777" w:rsidR="00343643" w:rsidRPr="00F2358E" w:rsidRDefault="00343643" w:rsidP="0067675A">
      <w:pPr>
        <w:pStyle w:val="Heading2"/>
      </w:pPr>
      <w:r w:rsidRPr="00F2358E">
        <w:rPr>
          <w:rStyle w:val="BookTitle"/>
          <w:rFonts w:ascii="Times New Roman" w:eastAsia="Times" w:hAnsi="Times New Roman" w:cs="Times New Roman"/>
          <w:b/>
          <w:bCs w:val="0"/>
          <w:smallCaps w:val="0"/>
          <w:color w:val="212121"/>
          <w:u w:val="none"/>
        </w:rPr>
        <w:t>Course Materials:</w:t>
      </w:r>
      <w:r w:rsidRPr="00F2358E">
        <w:t xml:space="preserve"> </w:t>
      </w:r>
    </w:p>
    <w:p w14:paraId="58374E79" w14:textId="77777777" w:rsidR="00343643" w:rsidRPr="00E169BE" w:rsidRDefault="00343643" w:rsidP="00F2358E">
      <w:pPr>
        <w:pStyle w:val="Normal0"/>
        <w:rPr>
          <w:color w:val="990000"/>
        </w:rPr>
      </w:pPr>
      <w:r w:rsidRPr="00E169BE">
        <w:rPr>
          <w:color w:val="990000"/>
        </w:rPr>
        <w:t>Books, readings, equipment</w:t>
      </w:r>
    </w:p>
    <w:p w14:paraId="5CCA5BD6" w14:textId="77777777" w:rsidR="00343643" w:rsidRPr="00E169BE" w:rsidRDefault="00343643" w:rsidP="00F2358E">
      <w:pPr>
        <w:pStyle w:val="Normal0"/>
        <w:numPr>
          <w:ilvl w:val="0"/>
          <w:numId w:val="16"/>
        </w:numPr>
        <w:rPr>
          <w:color w:val="990000"/>
        </w:rPr>
      </w:pPr>
      <w:r w:rsidRPr="00E169BE">
        <w:rPr>
          <w:color w:val="990000"/>
        </w:rPr>
        <w:t xml:space="preserve">Availability of course materials or resources can be specified (e.g., items on reserve through the library; use of </w:t>
      </w:r>
      <w:hyperlink r:id="rId9" w:history="1">
        <w:r w:rsidRPr="00E169BE">
          <w:rPr>
            <w:color w:val="990000"/>
          </w:rPr>
          <w:t>UBlearns Blackboard</w:t>
        </w:r>
      </w:hyperlink>
      <w:r w:rsidRPr="00E169BE">
        <w:rPr>
          <w:color w:val="990000"/>
        </w:rPr>
        <w:t xml:space="preserve"> site)</w:t>
      </w:r>
    </w:p>
    <w:p w14:paraId="5A31FF73" w14:textId="77777777" w:rsidR="00343643" w:rsidRPr="00F2358E" w:rsidRDefault="00343643" w:rsidP="0067675A">
      <w:pPr>
        <w:pStyle w:val="Heading2"/>
        <w:rPr>
          <w:rStyle w:val="BookTitle"/>
          <w:rFonts w:ascii="Times New Roman" w:eastAsia="Times" w:hAnsi="Times New Roman" w:cs="Times New Roman"/>
          <w:b/>
          <w:bCs w:val="0"/>
          <w:smallCaps w:val="0"/>
          <w:color w:val="212121"/>
          <w:u w:val="none"/>
        </w:rPr>
      </w:pPr>
      <w:r w:rsidRPr="00F2358E">
        <w:rPr>
          <w:rStyle w:val="BookTitle"/>
          <w:rFonts w:ascii="Times New Roman" w:eastAsia="Times" w:hAnsi="Times New Roman" w:cs="Times New Roman"/>
          <w:b/>
          <w:bCs w:val="0"/>
          <w:smallCaps w:val="0"/>
          <w:color w:val="212121"/>
          <w:u w:val="none"/>
        </w:rPr>
        <w:t xml:space="preserve">Course Requirements: </w:t>
      </w:r>
    </w:p>
    <w:p w14:paraId="4B21CF65" w14:textId="77777777" w:rsidR="00343643" w:rsidRPr="00E169BE" w:rsidRDefault="00343643" w:rsidP="00F2358E">
      <w:pPr>
        <w:pStyle w:val="Normal0"/>
        <w:rPr>
          <w:rStyle w:val="BookTitle"/>
          <w:rFonts w:ascii="Times New Roman" w:eastAsia="Times" w:hAnsi="Times New Roman" w:cs="Times New Roman"/>
          <w:bCs w:val="0"/>
          <w:smallCaps w:val="0"/>
          <w:color w:val="990000"/>
          <w:u w:val="none"/>
        </w:rPr>
      </w:pPr>
      <w:r w:rsidRPr="00E169BE">
        <w:rPr>
          <w:color w:val="990000"/>
        </w:rPr>
        <w:lastRenderedPageBreak/>
        <w:t xml:space="preserve">The number of papers, tests, and any other requirements, such as homework, attendance, class participation, laboratory assignments, or clinical performance, that will count toward the final grade. Availability of and procedures for alternatives to assignments or exams the student did not complete due to absences should be specified. </w:t>
      </w:r>
      <w:r w:rsidRPr="00E169BE">
        <w:rPr>
          <w:b/>
          <w:color w:val="990000"/>
        </w:rPr>
        <w:t>All requirements should relate to the course description and the student learning outcomes.</w:t>
      </w:r>
    </w:p>
    <w:p w14:paraId="6B1E2FC1" w14:textId="77777777" w:rsidR="00343643" w:rsidRPr="00F2358E" w:rsidRDefault="00343643" w:rsidP="0067675A">
      <w:pPr>
        <w:pStyle w:val="Heading2"/>
        <w:rPr>
          <w:rStyle w:val="BookTitle"/>
          <w:rFonts w:ascii="Times New Roman" w:eastAsia="Times" w:hAnsi="Times New Roman" w:cs="Times New Roman"/>
          <w:b/>
          <w:bCs w:val="0"/>
          <w:smallCaps w:val="0"/>
          <w:color w:val="212121"/>
          <w:u w:val="none"/>
        </w:rPr>
      </w:pPr>
      <w:r w:rsidRPr="00F2358E">
        <w:rPr>
          <w:rStyle w:val="BookTitle"/>
          <w:rFonts w:ascii="Times New Roman" w:eastAsia="Times" w:hAnsi="Times New Roman" w:cs="Times New Roman"/>
          <w:b/>
          <w:bCs w:val="0"/>
          <w:smallCaps w:val="0"/>
          <w:color w:val="212121"/>
          <w:u w:val="none"/>
        </w:rPr>
        <w:t xml:space="preserve">Academic Content: </w:t>
      </w:r>
    </w:p>
    <w:p w14:paraId="001AE5B2" w14:textId="77777777" w:rsidR="00343643" w:rsidRPr="00E169BE" w:rsidRDefault="00343643" w:rsidP="00F2358E">
      <w:pPr>
        <w:pStyle w:val="Normal0"/>
        <w:rPr>
          <w:rFonts w:eastAsiaTheme="majorEastAsia"/>
          <w:b/>
          <w:bCs/>
          <w:smallCaps/>
          <w:color w:val="990000"/>
          <w:u w:val="single"/>
        </w:rPr>
      </w:pPr>
      <w:r w:rsidRPr="00E169BE">
        <w:rPr>
          <w:color w:val="990000"/>
        </w:rPr>
        <w:t xml:space="preserve">What the student will be held accountable for, including required readings, lectures, films, field trips, etc. </w:t>
      </w:r>
      <w:r w:rsidRPr="00E169BE">
        <w:rPr>
          <w:b/>
          <w:color w:val="990000"/>
        </w:rPr>
        <w:t>Deadlines for assignments should be specified.</w:t>
      </w:r>
      <w:r w:rsidRPr="00E169BE">
        <w:rPr>
          <w:color w:val="990000"/>
        </w:rPr>
        <w:t xml:space="preserve"> Most semesters are 15 weeks.</w:t>
      </w:r>
    </w:p>
    <w:tbl>
      <w:tblPr>
        <w:tblStyle w:val="TableGrid"/>
        <w:tblW w:w="0" w:type="auto"/>
        <w:tblLook w:val="04A0" w:firstRow="1" w:lastRow="0" w:firstColumn="1" w:lastColumn="0" w:noHBand="0" w:noVBand="1"/>
      </w:tblPr>
      <w:tblGrid>
        <w:gridCol w:w="803"/>
        <w:gridCol w:w="3154"/>
        <w:gridCol w:w="4409"/>
        <w:gridCol w:w="2424"/>
      </w:tblGrid>
      <w:tr w:rsidR="00343643" w:rsidRPr="00F2358E" w14:paraId="66BAAF5D" w14:textId="77777777" w:rsidTr="00601DF4">
        <w:tc>
          <w:tcPr>
            <w:tcW w:w="800" w:type="dxa"/>
            <w:shd w:val="clear" w:color="auto" w:fill="000000"/>
          </w:tcPr>
          <w:p w14:paraId="22EA8467"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Week</w:t>
            </w:r>
          </w:p>
        </w:tc>
        <w:tc>
          <w:tcPr>
            <w:tcW w:w="3155" w:type="dxa"/>
            <w:shd w:val="clear" w:color="auto" w:fill="000000"/>
          </w:tcPr>
          <w:p w14:paraId="19E639BD" w14:textId="77777777" w:rsidR="00343643" w:rsidRPr="00F2358E" w:rsidRDefault="00343643" w:rsidP="00601DF4">
            <w:pPr>
              <w:tabs>
                <w:tab w:val="left" w:pos="2580"/>
                <w:tab w:val="center" w:pos="4320"/>
              </w:tabs>
              <w:jc w:val="center"/>
              <w:rPr>
                <w:rFonts w:ascii="Times New Roman" w:hAnsi="Times New Roman" w:cs="Times New Roman"/>
                <w:b/>
                <w:color w:val="FFFFFF"/>
              </w:rPr>
            </w:pPr>
            <w:r w:rsidRPr="00F2358E">
              <w:rPr>
                <w:rFonts w:ascii="Times New Roman" w:hAnsi="Times New Roman" w:cs="Times New Roman"/>
                <w:b/>
                <w:color w:val="FFFFFF"/>
              </w:rPr>
              <w:t>Topics</w:t>
            </w:r>
          </w:p>
        </w:tc>
        <w:tc>
          <w:tcPr>
            <w:tcW w:w="4410" w:type="dxa"/>
            <w:shd w:val="clear" w:color="auto" w:fill="000000"/>
          </w:tcPr>
          <w:p w14:paraId="3041D31D" w14:textId="77777777" w:rsidR="00343643" w:rsidRPr="00F2358E" w:rsidRDefault="00343643" w:rsidP="00601DF4">
            <w:pPr>
              <w:tabs>
                <w:tab w:val="left" w:pos="2580"/>
                <w:tab w:val="center" w:pos="4320"/>
              </w:tabs>
              <w:jc w:val="center"/>
              <w:rPr>
                <w:rFonts w:ascii="Times New Roman" w:hAnsi="Times New Roman" w:cs="Times New Roman"/>
                <w:b/>
                <w:color w:val="FFFFFF"/>
              </w:rPr>
            </w:pPr>
            <w:r w:rsidRPr="00F2358E">
              <w:rPr>
                <w:rFonts w:ascii="Times New Roman" w:hAnsi="Times New Roman" w:cs="Times New Roman"/>
                <w:b/>
                <w:color w:val="FFFFFF"/>
              </w:rPr>
              <w:t>Assignments</w:t>
            </w:r>
          </w:p>
        </w:tc>
        <w:tc>
          <w:tcPr>
            <w:tcW w:w="2425" w:type="dxa"/>
            <w:shd w:val="clear" w:color="auto" w:fill="000000"/>
          </w:tcPr>
          <w:p w14:paraId="684CD600" w14:textId="77777777" w:rsidR="00343643" w:rsidRPr="00F2358E" w:rsidRDefault="00343643" w:rsidP="00601DF4">
            <w:pPr>
              <w:tabs>
                <w:tab w:val="left" w:pos="2580"/>
                <w:tab w:val="center" w:pos="4320"/>
              </w:tabs>
              <w:jc w:val="center"/>
              <w:rPr>
                <w:rFonts w:ascii="Times New Roman" w:hAnsi="Times New Roman" w:cs="Times New Roman"/>
                <w:b/>
                <w:color w:val="FFFFFF"/>
              </w:rPr>
            </w:pPr>
            <w:r w:rsidRPr="00F2358E">
              <w:rPr>
                <w:rFonts w:ascii="Times New Roman" w:hAnsi="Times New Roman" w:cs="Times New Roman"/>
                <w:b/>
                <w:color w:val="FFFFFF"/>
              </w:rPr>
              <w:t>Associated Learning Outcome Number</w:t>
            </w:r>
          </w:p>
        </w:tc>
      </w:tr>
      <w:tr w:rsidR="00343643" w:rsidRPr="00F2358E" w14:paraId="18323B6A" w14:textId="77777777" w:rsidTr="00601DF4">
        <w:tc>
          <w:tcPr>
            <w:tcW w:w="800" w:type="dxa"/>
          </w:tcPr>
          <w:p w14:paraId="22E67C2C"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1</w:t>
            </w:r>
          </w:p>
        </w:tc>
        <w:tc>
          <w:tcPr>
            <w:tcW w:w="3155" w:type="dxa"/>
          </w:tcPr>
          <w:p w14:paraId="7F366159"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64418A77"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4169F03D"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01195343" w14:textId="77777777" w:rsidTr="00601DF4">
        <w:tc>
          <w:tcPr>
            <w:tcW w:w="800" w:type="dxa"/>
          </w:tcPr>
          <w:p w14:paraId="5A1E1085"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2</w:t>
            </w:r>
          </w:p>
        </w:tc>
        <w:tc>
          <w:tcPr>
            <w:tcW w:w="3155" w:type="dxa"/>
          </w:tcPr>
          <w:p w14:paraId="4E6CB54D"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3B7435E5"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744473BF"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127F85A8" w14:textId="77777777" w:rsidTr="00601DF4">
        <w:tc>
          <w:tcPr>
            <w:tcW w:w="800" w:type="dxa"/>
          </w:tcPr>
          <w:p w14:paraId="439BE1F8"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3</w:t>
            </w:r>
          </w:p>
        </w:tc>
        <w:tc>
          <w:tcPr>
            <w:tcW w:w="3155" w:type="dxa"/>
          </w:tcPr>
          <w:p w14:paraId="4E38BC83"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71A4D596"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5BA2E030"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0DF868CE" w14:textId="77777777" w:rsidTr="00601DF4">
        <w:tc>
          <w:tcPr>
            <w:tcW w:w="800" w:type="dxa"/>
          </w:tcPr>
          <w:p w14:paraId="413726F1"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4</w:t>
            </w:r>
          </w:p>
        </w:tc>
        <w:tc>
          <w:tcPr>
            <w:tcW w:w="3155" w:type="dxa"/>
          </w:tcPr>
          <w:p w14:paraId="7BDDCC21"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06ED135D"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500C968C"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3F7D1245" w14:textId="77777777" w:rsidTr="00601DF4">
        <w:tc>
          <w:tcPr>
            <w:tcW w:w="800" w:type="dxa"/>
          </w:tcPr>
          <w:p w14:paraId="0DD9688D"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5</w:t>
            </w:r>
          </w:p>
        </w:tc>
        <w:tc>
          <w:tcPr>
            <w:tcW w:w="3155" w:type="dxa"/>
          </w:tcPr>
          <w:p w14:paraId="688CA829"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771C1CE9"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0C8E05B1"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1A3D4159" w14:textId="77777777" w:rsidTr="00601DF4">
        <w:tc>
          <w:tcPr>
            <w:tcW w:w="800" w:type="dxa"/>
          </w:tcPr>
          <w:p w14:paraId="3C32B908"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6</w:t>
            </w:r>
          </w:p>
        </w:tc>
        <w:tc>
          <w:tcPr>
            <w:tcW w:w="3155" w:type="dxa"/>
          </w:tcPr>
          <w:p w14:paraId="00F14B31"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43DE3DC3"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3FF44D10"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547C5CC2" w14:textId="77777777" w:rsidTr="00601DF4">
        <w:tc>
          <w:tcPr>
            <w:tcW w:w="800" w:type="dxa"/>
          </w:tcPr>
          <w:p w14:paraId="3B00A157"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7</w:t>
            </w:r>
          </w:p>
        </w:tc>
        <w:tc>
          <w:tcPr>
            <w:tcW w:w="3155" w:type="dxa"/>
          </w:tcPr>
          <w:p w14:paraId="223A4E50"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31DB2662"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3F5C56D7"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03F540EB" w14:textId="77777777" w:rsidTr="00601DF4">
        <w:tc>
          <w:tcPr>
            <w:tcW w:w="800" w:type="dxa"/>
          </w:tcPr>
          <w:p w14:paraId="41FF5279"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8</w:t>
            </w:r>
          </w:p>
        </w:tc>
        <w:tc>
          <w:tcPr>
            <w:tcW w:w="3155" w:type="dxa"/>
          </w:tcPr>
          <w:p w14:paraId="7B0BB72F"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0B7F6E01"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32ABCD71"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2393FF4D" w14:textId="77777777" w:rsidTr="00601DF4">
        <w:tc>
          <w:tcPr>
            <w:tcW w:w="800" w:type="dxa"/>
          </w:tcPr>
          <w:p w14:paraId="72C83B2E"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9</w:t>
            </w:r>
          </w:p>
        </w:tc>
        <w:tc>
          <w:tcPr>
            <w:tcW w:w="3155" w:type="dxa"/>
          </w:tcPr>
          <w:p w14:paraId="06933C51"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597D926B"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4166E60B"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55D1B92A" w14:textId="77777777" w:rsidTr="00601DF4">
        <w:tc>
          <w:tcPr>
            <w:tcW w:w="800" w:type="dxa"/>
          </w:tcPr>
          <w:p w14:paraId="7FB5F580"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10</w:t>
            </w:r>
          </w:p>
        </w:tc>
        <w:tc>
          <w:tcPr>
            <w:tcW w:w="3155" w:type="dxa"/>
          </w:tcPr>
          <w:p w14:paraId="0298291D"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226DE985"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6DA45EB2"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17578F9F" w14:textId="77777777" w:rsidTr="00601DF4">
        <w:tc>
          <w:tcPr>
            <w:tcW w:w="800" w:type="dxa"/>
          </w:tcPr>
          <w:p w14:paraId="69B96CAD"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11</w:t>
            </w:r>
          </w:p>
        </w:tc>
        <w:tc>
          <w:tcPr>
            <w:tcW w:w="3155" w:type="dxa"/>
          </w:tcPr>
          <w:p w14:paraId="098B22AF"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39BE5463"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55B83860"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1ADF40DD" w14:textId="77777777" w:rsidTr="00601DF4">
        <w:tc>
          <w:tcPr>
            <w:tcW w:w="800" w:type="dxa"/>
          </w:tcPr>
          <w:p w14:paraId="152D8AF3"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12</w:t>
            </w:r>
          </w:p>
        </w:tc>
        <w:tc>
          <w:tcPr>
            <w:tcW w:w="3155" w:type="dxa"/>
          </w:tcPr>
          <w:p w14:paraId="0F384AFF"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7DA1CD62"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43512402"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1198F58E" w14:textId="77777777" w:rsidTr="00601DF4">
        <w:tc>
          <w:tcPr>
            <w:tcW w:w="800" w:type="dxa"/>
          </w:tcPr>
          <w:p w14:paraId="01C8137D"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13</w:t>
            </w:r>
          </w:p>
        </w:tc>
        <w:tc>
          <w:tcPr>
            <w:tcW w:w="3155" w:type="dxa"/>
          </w:tcPr>
          <w:p w14:paraId="73A05489"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68D7F977"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408A3827"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25B25766" w14:textId="77777777" w:rsidTr="00601DF4">
        <w:tc>
          <w:tcPr>
            <w:tcW w:w="800" w:type="dxa"/>
          </w:tcPr>
          <w:p w14:paraId="341103B5"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14</w:t>
            </w:r>
          </w:p>
        </w:tc>
        <w:tc>
          <w:tcPr>
            <w:tcW w:w="3155" w:type="dxa"/>
          </w:tcPr>
          <w:p w14:paraId="0BC7F64C"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1140764A"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71069C98" w14:textId="77777777" w:rsidR="00343643" w:rsidRPr="00F2358E" w:rsidRDefault="00343643" w:rsidP="00601DF4">
            <w:pPr>
              <w:tabs>
                <w:tab w:val="left" w:pos="2580"/>
                <w:tab w:val="center" w:pos="4320"/>
              </w:tabs>
              <w:rPr>
                <w:rFonts w:ascii="Times New Roman" w:hAnsi="Times New Roman" w:cs="Times New Roman"/>
              </w:rPr>
            </w:pPr>
          </w:p>
        </w:tc>
      </w:tr>
      <w:tr w:rsidR="00343643" w:rsidRPr="00F2358E" w14:paraId="70F73859" w14:textId="77777777" w:rsidTr="00601DF4">
        <w:tc>
          <w:tcPr>
            <w:tcW w:w="800" w:type="dxa"/>
          </w:tcPr>
          <w:p w14:paraId="45CFB859" w14:textId="77777777" w:rsidR="00343643" w:rsidRPr="00F2358E" w:rsidRDefault="00343643" w:rsidP="00601DF4">
            <w:pPr>
              <w:tabs>
                <w:tab w:val="left" w:pos="2580"/>
                <w:tab w:val="center" w:pos="4320"/>
              </w:tabs>
              <w:jc w:val="center"/>
              <w:rPr>
                <w:rFonts w:ascii="Times New Roman" w:hAnsi="Times New Roman" w:cs="Times New Roman"/>
                <w:b/>
              </w:rPr>
            </w:pPr>
            <w:r w:rsidRPr="00F2358E">
              <w:rPr>
                <w:rFonts w:ascii="Times New Roman" w:hAnsi="Times New Roman" w:cs="Times New Roman"/>
                <w:b/>
              </w:rPr>
              <w:t>15</w:t>
            </w:r>
          </w:p>
        </w:tc>
        <w:tc>
          <w:tcPr>
            <w:tcW w:w="3155" w:type="dxa"/>
          </w:tcPr>
          <w:p w14:paraId="4CE0156F" w14:textId="77777777" w:rsidR="00343643" w:rsidRPr="00F2358E" w:rsidRDefault="00343643" w:rsidP="00343643">
            <w:pPr>
              <w:numPr>
                <w:ilvl w:val="0"/>
                <w:numId w:val="14"/>
              </w:numPr>
              <w:tabs>
                <w:tab w:val="left" w:pos="2580"/>
                <w:tab w:val="center" w:pos="4320"/>
              </w:tabs>
              <w:ind w:left="349" w:hanging="270"/>
              <w:rPr>
                <w:rFonts w:ascii="Times New Roman" w:hAnsi="Times New Roman" w:cs="Times New Roman"/>
              </w:rPr>
            </w:pPr>
          </w:p>
        </w:tc>
        <w:tc>
          <w:tcPr>
            <w:tcW w:w="4410" w:type="dxa"/>
          </w:tcPr>
          <w:p w14:paraId="4BA31AC4" w14:textId="77777777" w:rsidR="00343643" w:rsidRPr="00F2358E" w:rsidRDefault="00343643" w:rsidP="00601DF4">
            <w:pPr>
              <w:tabs>
                <w:tab w:val="left" w:pos="2580"/>
                <w:tab w:val="center" w:pos="4320"/>
              </w:tabs>
              <w:rPr>
                <w:rFonts w:ascii="Times New Roman" w:hAnsi="Times New Roman" w:cs="Times New Roman"/>
              </w:rPr>
            </w:pPr>
          </w:p>
        </w:tc>
        <w:tc>
          <w:tcPr>
            <w:tcW w:w="2425" w:type="dxa"/>
          </w:tcPr>
          <w:p w14:paraId="4B46AA11" w14:textId="77777777" w:rsidR="00343643" w:rsidRPr="00F2358E" w:rsidRDefault="00343643" w:rsidP="00601DF4">
            <w:pPr>
              <w:tabs>
                <w:tab w:val="left" w:pos="2580"/>
                <w:tab w:val="center" w:pos="4320"/>
              </w:tabs>
              <w:rPr>
                <w:rFonts w:ascii="Times New Roman" w:hAnsi="Times New Roman" w:cs="Times New Roman"/>
              </w:rPr>
            </w:pPr>
          </w:p>
        </w:tc>
      </w:tr>
    </w:tbl>
    <w:p w14:paraId="573996EE" w14:textId="77777777" w:rsidR="003A474D" w:rsidRPr="00F2358E" w:rsidRDefault="003A474D" w:rsidP="00F2358E">
      <w:pPr>
        <w:pStyle w:val="NoSpacing"/>
        <w:rPr>
          <w:rStyle w:val="BookTitle"/>
          <w:rFonts w:ascii="Times New Roman" w:hAnsi="Times New Roman" w:cs="Times New Roman"/>
          <w:color w:val="000000" w:themeColor="text1"/>
        </w:rPr>
      </w:pPr>
    </w:p>
    <w:p w14:paraId="5760182E" w14:textId="77777777" w:rsidR="00343643" w:rsidRPr="00F2358E" w:rsidRDefault="00343643" w:rsidP="0067675A">
      <w:pPr>
        <w:pStyle w:val="Heading2"/>
        <w:rPr>
          <w:rStyle w:val="BookTitle"/>
          <w:rFonts w:ascii="Times New Roman" w:eastAsia="Times" w:hAnsi="Times New Roman" w:cs="Times New Roman"/>
          <w:b/>
          <w:bCs w:val="0"/>
          <w:smallCaps w:val="0"/>
          <w:color w:val="212121"/>
          <w:u w:val="none"/>
        </w:rPr>
      </w:pPr>
      <w:r w:rsidRPr="00F2358E">
        <w:rPr>
          <w:rStyle w:val="BookTitle"/>
          <w:rFonts w:ascii="Times New Roman" w:eastAsia="Times" w:hAnsi="Times New Roman" w:cs="Times New Roman"/>
          <w:b/>
          <w:bCs w:val="0"/>
          <w:smallCaps w:val="0"/>
          <w:color w:val="212121"/>
          <w:u w:val="none"/>
        </w:rPr>
        <w:t xml:space="preserve">Grading Policy: </w:t>
      </w:r>
    </w:p>
    <w:p w14:paraId="1C8C6FE2" w14:textId="77777777" w:rsidR="00343643" w:rsidRPr="00F2358E" w:rsidRDefault="00343643" w:rsidP="00F2358E">
      <w:pPr>
        <w:pStyle w:val="Normal0"/>
        <w:rPr>
          <w:rFonts w:eastAsiaTheme="majorEastAsia"/>
          <w:b/>
          <w:bCs/>
          <w:smallCaps/>
          <w:u w:val="single"/>
        </w:rPr>
      </w:pPr>
      <w:r w:rsidRPr="00F2358E">
        <w:t xml:space="preserve">How results from various requirements will be combined into a final grade: relative weightings, make-up policy for tests, etc. </w:t>
      </w:r>
    </w:p>
    <w:p w14:paraId="52ACFC67" w14:textId="77777777" w:rsidR="00343643" w:rsidRPr="00F2358E" w:rsidRDefault="00343643" w:rsidP="00F2358E">
      <w:pPr>
        <w:pStyle w:val="Heading3"/>
      </w:pPr>
      <w:r w:rsidRPr="00F2358E">
        <w:t>Grading Policies must include:</w:t>
      </w:r>
    </w:p>
    <w:p w14:paraId="515BEA50" w14:textId="77777777" w:rsidR="00343643" w:rsidRPr="00E169BE" w:rsidRDefault="00343643" w:rsidP="00F2358E">
      <w:pPr>
        <w:pStyle w:val="Normal0"/>
        <w:numPr>
          <w:ilvl w:val="0"/>
          <w:numId w:val="17"/>
        </w:numPr>
        <w:rPr>
          <w:color w:val="990000"/>
        </w:rPr>
      </w:pPr>
      <w:r w:rsidRPr="00E169BE">
        <w:rPr>
          <w:color w:val="990000"/>
        </w:rPr>
        <w:t>Specification of the level of work that must be completed in order to obtain specific letter grades (A-F) or a passing grade if the course is graded on a Pass/Fail basis; and</w:t>
      </w:r>
    </w:p>
    <w:p w14:paraId="4E38D24F" w14:textId="77777777" w:rsidR="00343643" w:rsidRPr="00E169BE" w:rsidRDefault="00343643" w:rsidP="00F2358E">
      <w:pPr>
        <w:pStyle w:val="Normal0"/>
        <w:numPr>
          <w:ilvl w:val="0"/>
          <w:numId w:val="17"/>
        </w:numPr>
        <w:rPr>
          <w:color w:val="990000"/>
        </w:rPr>
      </w:pPr>
      <w:r w:rsidRPr="00E169BE">
        <w:rPr>
          <w:color w:val="990000"/>
        </w:rPr>
        <w:t xml:space="preserve">Reference to the university undergraduate Incomplete Policy or graduate Incomplete Policy and any additional instructor requirements and comments regarding incomplete grades. Incomplete Policy: </w:t>
      </w:r>
      <w:hyperlink r:id="rId10" w:history="1">
        <w:r w:rsidRPr="00E169BE">
          <w:rPr>
            <w:rStyle w:val="Hyperlink"/>
            <w:color w:val="990000"/>
          </w:rPr>
          <w:t>https://catalog.buffalo.edu/policies/explanation.html</w:t>
        </w:r>
      </w:hyperlink>
    </w:p>
    <w:p w14:paraId="74E8F2F8" w14:textId="77777777" w:rsidR="00343643" w:rsidRPr="00F2358E" w:rsidRDefault="00343643" w:rsidP="00F2358E">
      <w:pPr>
        <w:pStyle w:val="Heading3"/>
      </w:pPr>
      <w:r w:rsidRPr="00F2358E">
        <w:t>Learning assessments will be graded based on rubric criteria and weighted according to the following break-down.</w:t>
      </w:r>
    </w:p>
    <w:tbl>
      <w:tblPr>
        <w:tblStyle w:val="TableGrid"/>
        <w:tblW w:w="0" w:type="auto"/>
        <w:tblLook w:val="04A0" w:firstRow="1" w:lastRow="0" w:firstColumn="1" w:lastColumn="0" w:noHBand="0" w:noVBand="1"/>
        <w:tblCaption w:val="Weighting / Assessment-Assignment"/>
      </w:tblPr>
      <w:tblGrid>
        <w:gridCol w:w="1283"/>
        <w:gridCol w:w="9507"/>
      </w:tblGrid>
      <w:tr w:rsidR="00343643" w:rsidRPr="00F2358E" w14:paraId="4D1B2BB0" w14:textId="77777777" w:rsidTr="00601DF4">
        <w:trPr>
          <w:tblHeader/>
        </w:trPr>
        <w:tc>
          <w:tcPr>
            <w:tcW w:w="1135" w:type="dxa"/>
            <w:shd w:val="clear" w:color="auto" w:fill="000000" w:themeFill="text1"/>
          </w:tcPr>
          <w:p w14:paraId="27BDFEDE" w14:textId="77777777" w:rsidR="00343643" w:rsidRPr="00F2358E" w:rsidRDefault="00343643" w:rsidP="00601DF4">
            <w:pPr>
              <w:tabs>
                <w:tab w:val="left" w:pos="2580"/>
                <w:tab w:val="center" w:pos="4320"/>
              </w:tabs>
              <w:jc w:val="center"/>
              <w:rPr>
                <w:rFonts w:ascii="Times New Roman" w:hAnsi="Times New Roman" w:cs="Times New Roman"/>
                <w:b/>
                <w:color w:val="FFFFFF"/>
              </w:rPr>
            </w:pPr>
            <w:r w:rsidRPr="00F2358E">
              <w:rPr>
                <w:rFonts w:ascii="Times New Roman" w:hAnsi="Times New Roman" w:cs="Times New Roman"/>
                <w:b/>
                <w:color w:val="FFFFFF"/>
              </w:rPr>
              <w:t>Weighting</w:t>
            </w:r>
          </w:p>
        </w:tc>
        <w:tc>
          <w:tcPr>
            <w:tcW w:w="9881" w:type="dxa"/>
            <w:shd w:val="clear" w:color="auto" w:fill="000000" w:themeFill="text1"/>
          </w:tcPr>
          <w:p w14:paraId="3EE75E58" w14:textId="77777777" w:rsidR="00343643" w:rsidRPr="00F2358E" w:rsidRDefault="00343643" w:rsidP="00601DF4">
            <w:pPr>
              <w:tabs>
                <w:tab w:val="left" w:pos="2580"/>
                <w:tab w:val="center" w:pos="4320"/>
              </w:tabs>
              <w:jc w:val="center"/>
              <w:rPr>
                <w:rFonts w:ascii="Times New Roman" w:hAnsi="Times New Roman" w:cs="Times New Roman"/>
                <w:b/>
                <w:color w:val="FFFFFF"/>
              </w:rPr>
            </w:pPr>
            <w:r w:rsidRPr="00F2358E">
              <w:rPr>
                <w:rFonts w:ascii="Times New Roman" w:hAnsi="Times New Roman" w:cs="Times New Roman"/>
                <w:b/>
                <w:color w:val="FFFFFF"/>
              </w:rPr>
              <w:t>Assessment / Assignment</w:t>
            </w:r>
          </w:p>
        </w:tc>
      </w:tr>
      <w:tr w:rsidR="00343643" w:rsidRPr="00F2358E" w14:paraId="7B46A77D" w14:textId="77777777" w:rsidTr="00601DF4">
        <w:tc>
          <w:tcPr>
            <w:tcW w:w="1135" w:type="dxa"/>
          </w:tcPr>
          <w:p w14:paraId="2667D0FC" w14:textId="77777777" w:rsidR="00343643" w:rsidRPr="00F2358E" w:rsidRDefault="00343643" w:rsidP="00F2358E">
            <w:pPr>
              <w:pStyle w:val="NoSpacing"/>
            </w:pPr>
            <w:r w:rsidRPr="00F2358E">
              <w:t>xx%</w:t>
            </w:r>
          </w:p>
        </w:tc>
        <w:tc>
          <w:tcPr>
            <w:tcW w:w="9881" w:type="dxa"/>
          </w:tcPr>
          <w:p w14:paraId="77C92969" w14:textId="77777777" w:rsidR="00343643" w:rsidRPr="00F2358E" w:rsidRDefault="00343643" w:rsidP="00F2358E">
            <w:pPr>
              <w:pStyle w:val="NoSpacing"/>
            </w:pPr>
          </w:p>
        </w:tc>
      </w:tr>
      <w:tr w:rsidR="00343643" w:rsidRPr="00F2358E" w14:paraId="11B1E4BB" w14:textId="77777777" w:rsidTr="00601DF4">
        <w:tc>
          <w:tcPr>
            <w:tcW w:w="1135" w:type="dxa"/>
          </w:tcPr>
          <w:p w14:paraId="60945A79" w14:textId="77777777" w:rsidR="00343643" w:rsidRPr="00F2358E" w:rsidRDefault="00343643" w:rsidP="00F2358E">
            <w:pPr>
              <w:pStyle w:val="NoSpacing"/>
            </w:pPr>
            <w:r w:rsidRPr="00F2358E">
              <w:t>xx%</w:t>
            </w:r>
          </w:p>
        </w:tc>
        <w:tc>
          <w:tcPr>
            <w:tcW w:w="9881" w:type="dxa"/>
          </w:tcPr>
          <w:p w14:paraId="365FBBBC" w14:textId="77777777" w:rsidR="00343643" w:rsidRPr="00F2358E" w:rsidRDefault="00343643" w:rsidP="00F2358E">
            <w:pPr>
              <w:pStyle w:val="NoSpacing"/>
            </w:pPr>
          </w:p>
        </w:tc>
      </w:tr>
      <w:tr w:rsidR="00343643" w:rsidRPr="00F2358E" w14:paraId="13BAC108" w14:textId="77777777" w:rsidTr="00601DF4">
        <w:tc>
          <w:tcPr>
            <w:tcW w:w="1135" w:type="dxa"/>
          </w:tcPr>
          <w:p w14:paraId="70A08DB5" w14:textId="77777777" w:rsidR="00343643" w:rsidRPr="00F2358E" w:rsidRDefault="00343643" w:rsidP="00F2358E">
            <w:pPr>
              <w:pStyle w:val="NoSpacing"/>
            </w:pPr>
            <w:r w:rsidRPr="00F2358E">
              <w:t>xx%</w:t>
            </w:r>
          </w:p>
        </w:tc>
        <w:tc>
          <w:tcPr>
            <w:tcW w:w="9881" w:type="dxa"/>
          </w:tcPr>
          <w:p w14:paraId="5A69464C" w14:textId="77777777" w:rsidR="00343643" w:rsidRPr="00F2358E" w:rsidRDefault="00343643" w:rsidP="00F2358E">
            <w:pPr>
              <w:pStyle w:val="NoSpacing"/>
            </w:pPr>
          </w:p>
        </w:tc>
      </w:tr>
      <w:tr w:rsidR="00343643" w:rsidRPr="00F2358E" w14:paraId="7867A751" w14:textId="77777777" w:rsidTr="00601DF4">
        <w:tc>
          <w:tcPr>
            <w:tcW w:w="1135" w:type="dxa"/>
          </w:tcPr>
          <w:p w14:paraId="7E8C0733" w14:textId="77777777" w:rsidR="00343643" w:rsidRPr="00F2358E" w:rsidRDefault="00343643" w:rsidP="00F2358E">
            <w:pPr>
              <w:pStyle w:val="NoSpacing"/>
            </w:pPr>
            <w:r w:rsidRPr="00F2358E">
              <w:lastRenderedPageBreak/>
              <w:t>100%</w:t>
            </w:r>
          </w:p>
        </w:tc>
        <w:tc>
          <w:tcPr>
            <w:tcW w:w="9881" w:type="dxa"/>
          </w:tcPr>
          <w:p w14:paraId="5CFD31AD" w14:textId="77777777" w:rsidR="00343643" w:rsidRPr="00F2358E" w:rsidRDefault="00343643" w:rsidP="00F2358E">
            <w:pPr>
              <w:pStyle w:val="NoSpacing"/>
            </w:pPr>
          </w:p>
        </w:tc>
      </w:tr>
    </w:tbl>
    <w:p w14:paraId="3B8AB6BA" w14:textId="77777777" w:rsidR="00343643" w:rsidRPr="00F2358E" w:rsidRDefault="00343643" w:rsidP="00F2358E">
      <w:pPr>
        <w:pStyle w:val="NoSpacing"/>
      </w:pPr>
    </w:p>
    <w:p w14:paraId="5390D16A" w14:textId="77777777" w:rsidR="00343643" w:rsidRPr="00F2358E" w:rsidRDefault="00343643" w:rsidP="0067675A">
      <w:pPr>
        <w:pStyle w:val="Heading2"/>
      </w:pPr>
      <w:r w:rsidRPr="00F2358E">
        <w:t>Final Grades:</w:t>
      </w:r>
    </w:p>
    <w:tbl>
      <w:tblPr>
        <w:tblStyle w:val="ListTable3"/>
        <w:tblW w:w="0" w:type="auto"/>
        <w:tblLook w:val="04A0" w:firstRow="1" w:lastRow="0" w:firstColumn="1" w:lastColumn="0" w:noHBand="0" w:noVBand="1"/>
        <w:tblCaption w:val="Final Grades: Grade, Quality Points, Percentage"/>
      </w:tblPr>
      <w:tblGrid>
        <w:gridCol w:w="1536"/>
        <w:gridCol w:w="1896"/>
        <w:gridCol w:w="2346"/>
      </w:tblGrid>
      <w:tr w:rsidR="00343643" w:rsidRPr="00F2358E" w14:paraId="079EFCC6" w14:textId="77777777" w:rsidTr="00343643">
        <w:trPr>
          <w:cnfStyle w:val="100000000000" w:firstRow="1" w:lastRow="0" w:firstColumn="0" w:lastColumn="0" w:oddVBand="0" w:evenVBand="0" w:oddHBand="0" w:evenHBand="0" w:firstRowFirstColumn="0" w:firstRowLastColumn="0" w:lastRowFirstColumn="0" w:lastRowLastColumn="0"/>
          <w:trHeight w:val="276"/>
          <w:tblHeader/>
        </w:trPr>
        <w:tc>
          <w:tcPr>
            <w:cnfStyle w:val="001000000100" w:firstRow="0" w:lastRow="0" w:firstColumn="1" w:lastColumn="0" w:oddVBand="0" w:evenVBand="0" w:oddHBand="0" w:evenHBand="0" w:firstRowFirstColumn="1" w:firstRowLastColumn="0" w:lastRowFirstColumn="0" w:lastRowLastColumn="0"/>
            <w:tcW w:w="1536" w:type="dxa"/>
          </w:tcPr>
          <w:p w14:paraId="75BEB329" w14:textId="77777777" w:rsidR="00343643" w:rsidRPr="00F2358E" w:rsidRDefault="00343643" w:rsidP="00F2358E">
            <w:pPr>
              <w:pStyle w:val="NoSpacing"/>
            </w:pPr>
            <w:r w:rsidRPr="00F2358E">
              <w:t>Grade</w:t>
            </w:r>
          </w:p>
        </w:tc>
        <w:tc>
          <w:tcPr>
            <w:tcW w:w="1896" w:type="dxa"/>
          </w:tcPr>
          <w:p w14:paraId="2FEC1C10" w14:textId="77777777" w:rsidR="00343643" w:rsidRPr="00F2358E" w:rsidRDefault="00343643" w:rsidP="00F2358E">
            <w:pPr>
              <w:pStyle w:val="NoSpacing"/>
              <w:cnfStyle w:val="100000000000" w:firstRow="1" w:lastRow="0" w:firstColumn="0" w:lastColumn="0" w:oddVBand="0" w:evenVBand="0" w:oddHBand="0" w:evenHBand="0" w:firstRowFirstColumn="0" w:firstRowLastColumn="0" w:lastRowFirstColumn="0" w:lastRowLastColumn="0"/>
            </w:pPr>
            <w:r w:rsidRPr="00F2358E">
              <w:t>Quality Points</w:t>
            </w:r>
          </w:p>
        </w:tc>
        <w:tc>
          <w:tcPr>
            <w:tcW w:w="2346" w:type="dxa"/>
          </w:tcPr>
          <w:p w14:paraId="0FFD6882" w14:textId="77777777" w:rsidR="00343643" w:rsidRPr="00F2358E" w:rsidRDefault="00343643" w:rsidP="00F2358E">
            <w:pPr>
              <w:pStyle w:val="NoSpacing"/>
              <w:cnfStyle w:val="100000000000" w:firstRow="1" w:lastRow="0" w:firstColumn="0" w:lastColumn="0" w:oddVBand="0" w:evenVBand="0" w:oddHBand="0" w:evenHBand="0" w:firstRowFirstColumn="0" w:firstRowLastColumn="0" w:lastRowFirstColumn="0" w:lastRowLastColumn="0"/>
            </w:pPr>
            <w:r w:rsidRPr="00F2358E">
              <w:t>Percentage (EXAMPLE)</w:t>
            </w:r>
          </w:p>
        </w:tc>
      </w:tr>
      <w:tr w:rsidR="00343643" w:rsidRPr="00F2358E" w14:paraId="77C80847"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7953FE95" w14:textId="77777777" w:rsidR="00343643" w:rsidRPr="00F2358E" w:rsidRDefault="00343643" w:rsidP="00F2358E">
            <w:pPr>
              <w:pStyle w:val="NoSpacing"/>
            </w:pPr>
            <w:r w:rsidRPr="00F2358E">
              <w:t>A</w:t>
            </w:r>
          </w:p>
        </w:tc>
        <w:tc>
          <w:tcPr>
            <w:tcW w:w="1896" w:type="dxa"/>
          </w:tcPr>
          <w:p w14:paraId="265AA559"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4.0</w:t>
            </w:r>
          </w:p>
        </w:tc>
        <w:tc>
          <w:tcPr>
            <w:tcW w:w="2346" w:type="dxa"/>
          </w:tcPr>
          <w:p w14:paraId="7E860DB0"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93.0% -100.00%</w:t>
            </w:r>
          </w:p>
        </w:tc>
      </w:tr>
      <w:tr w:rsidR="00343643" w:rsidRPr="00F2358E" w14:paraId="24D0115D" w14:textId="77777777" w:rsidTr="00343643">
        <w:trPr>
          <w:trHeight w:val="276"/>
        </w:trPr>
        <w:tc>
          <w:tcPr>
            <w:cnfStyle w:val="001000000000" w:firstRow="0" w:lastRow="0" w:firstColumn="1" w:lastColumn="0" w:oddVBand="0" w:evenVBand="0" w:oddHBand="0" w:evenHBand="0" w:firstRowFirstColumn="0" w:firstRowLastColumn="0" w:lastRowFirstColumn="0" w:lastRowLastColumn="0"/>
            <w:tcW w:w="1536" w:type="dxa"/>
          </w:tcPr>
          <w:p w14:paraId="4FF288FF" w14:textId="77777777" w:rsidR="00343643" w:rsidRPr="00F2358E" w:rsidRDefault="00343643" w:rsidP="00F2358E">
            <w:pPr>
              <w:pStyle w:val="NoSpacing"/>
            </w:pPr>
            <w:r w:rsidRPr="00F2358E">
              <w:t>A-</w:t>
            </w:r>
          </w:p>
        </w:tc>
        <w:tc>
          <w:tcPr>
            <w:tcW w:w="1896" w:type="dxa"/>
          </w:tcPr>
          <w:p w14:paraId="267E8C8F" w14:textId="77777777" w:rsidR="00343643" w:rsidRPr="00F2358E" w:rsidRDefault="00343643" w:rsidP="00F2358E">
            <w:pPr>
              <w:pStyle w:val="NoSpacing"/>
              <w:cnfStyle w:val="000000000000" w:firstRow="0" w:lastRow="0" w:firstColumn="0" w:lastColumn="0" w:oddVBand="0" w:evenVBand="0" w:oddHBand="0" w:evenHBand="0" w:firstRowFirstColumn="0" w:firstRowLastColumn="0" w:lastRowFirstColumn="0" w:lastRowLastColumn="0"/>
            </w:pPr>
            <w:r w:rsidRPr="00F2358E">
              <w:t>3.67</w:t>
            </w:r>
          </w:p>
        </w:tc>
        <w:tc>
          <w:tcPr>
            <w:tcW w:w="2346" w:type="dxa"/>
          </w:tcPr>
          <w:p w14:paraId="5FE30F55" w14:textId="77777777" w:rsidR="00343643" w:rsidRPr="00F2358E" w:rsidRDefault="00343643" w:rsidP="00F2358E">
            <w:pPr>
              <w:pStyle w:val="NoSpacing"/>
              <w:cnfStyle w:val="000000000000" w:firstRow="0" w:lastRow="0" w:firstColumn="0" w:lastColumn="0" w:oddVBand="0" w:evenVBand="0" w:oddHBand="0" w:evenHBand="0" w:firstRowFirstColumn="0" w:firstRowLastColumn="0" w:lastRowFirstColumn="0" w:lastRowLastColumn="0"/>
            </w:pPr>
            <w:r w:rsidRPr="00F2358E">
              <w:t>90.0% - 92.9%</w:t>
            </w:r>
          </w:p>
        </w:tc>
      </w:tr>
      <w:tr w:rsidR="00343643" w:rsidRPr="00F2358E" w14:paraId="592B158E"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5D36DC53" w14:textId="77777777" w:rsidR="00343643" w:rsidRPr="00F2358E" w:rsidRDefault="00343643" w:rsidP="00F2358E">
            <w:pPr>
              <w:pStyle w:val="NoSpacing"/>
            </w:pPr>
            <w:r w:rsidRPr="00F2358E">
              <w:t>B+</w:t>
            </w:r>
          </w:p>
        </w:tc>
        <w:tc>
          <w:tcPr>
            <w:tcW w:w="1896" w:type="dxa"/>
          </w:tcPr>
          <w:p w14:paraId="1CAF3731"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3.33</w:t>
            </w:r>
          </w:p>
        </w:tc>
        <w:tc>
          <w:tcPr>
            <w:tcW w:w="2346" w:type="dxa"/>
          </w:tcPr>
          <w:p w14:paraId="08E520E1"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87.0% - 89.9%</w:t>
            </w:r>
          </w:p>
        </w:tc>
      </w:tr>
      <w:tr w:rsidR="00343643" w:rsidRPr="00F2358E" w14:paraId="7B0FB085" w14:textId="77777777" w:rsidTr="00343643">
        <w:trPr>
          <w:trHeight w:val="276"/>
        </w:trPr>
        <w:tc>
          <w:tcPr>
            <w:cnfStyle w:val="001000000000" w:firstRow="0" w:lastRow="0" w:firstColumn="1" w:lastColumn="0" w:oddVBand="0" w:evenVBand="0" w:oddHBand="0" w:evenHBand="0" w:firstRowFirstColumn="0" w:firstRowLastColumn="0" w:lastRowFirstColumn="0" w:lastRowLastColumn="0"/>
            <w:tcW w:w="1536" w:type="dxa"/>
          </w:tcPr>
          <w:p w14:paraId="64E6BCCE" w14:textId="77777777" w:rsidR="00343643" w:rsidRPr="00F2358E" w:rsidRDefault="00343643" w:rsidP="00F2358E">
            <w:pPr>
              <w:pStyle w:val="NoSpacing"/>
            </w:pPr>
            <w:r w:rsidRPr="00F2358E">
              <w:t>B</w:t>
            </w:r>
          </w:p>
        </w:tc>
        <w:tc>
          <w:tcPr>
            <w:tcW w:w="1896" w:type="dxa"/>
          </w:tcPr>
          <w:p w14:paraId="02E60AF9" w14:textId="77777777" w:rsidR="00343643" w:rsidRPr="00F2358E" w:rsidRDefault="00343643" w:rsidP="00F2358E">
            <w:pPr>
              <w:pStyle w:val="NoSpacing"/>
              <w:cnfStyle w:val="000000000000" w:firstRow="0" w:lastRow="0" w:firstColumn="0" w:lastColumn="0" w:oddVBand="0" w:evenVBand="0" w:oddHBand="0" w:evenHBand="0" w:firstRowFirstColumn="0" w:firstRowLastColumn="0" w:lastRowFirstColumn="0" w:lastRowLastColumn="0"/>
            </w:pPr>
            <w:r w:rsidRPr="00F2358E">
              <w:t>3.00</w:t>
            </w:r>
          </w:p>
        </w:tc>
        <w:tc>
          <w:tcPr>
            <w:tcW w:w="2346" w:type="dxa"/>
          </w:tcPr>
          <w:p w14:paraId="4E3FA7A8" w14:textId="77777777" w:rsidR="00343643" w:rsidRPr="00F2358E" w:rsidRDefault="00343643" w:rsidP="00F2358E">
            <w:pPr>
              <w:pStyle w:val="NoSpacing"/>
              <w:cnfStyle w:val="000000000000" w:firstRow="0" w:lastRow="0" w:firstColumn="0" w:lastColumn="0" w:oddVBand="0" w:evenVBand="0" w:oddHBand="0" w:evenHBand="0" w:firstRowFirstColumn="0" w:firstRowLastColumn="0" w:lastRowFirstColumn="0" w:lastRowLastColumn="0"/>
            </w:pPr>
            <w:r w:rsidRPr="00F2358E">
              <w:t>83.0% - 86.9%</w:t>
            </w:r>
          </w:p>
        </w:tc>
      </w:tr>
      <w:tr w:rsidR="00343643" w:rsidRPr="00F2358E" w14:paraId="6790B241"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23F3E304" w14:textId="77777777" w:rsidR="00343643" w:rsidRPr="00F2358E" w:rsidRDefault="00343643" w:rsidP="00F2358E">
            <w:pPr>
              <w:pStyle w:val="NoSpacing"/>
            </w:pPr>
            <w:r w:rsidRPr="00F2358E">
              <w:t>B-</w:t>
            </w:r>
          </w:p>
        </w:tc>
        <w:tc>
          <w:tcPr>
            <w:tcW w:w="1896" w:type="dxa"/>
          </w:tcPr>
          <w:p w14:paraId="5E58DE4D"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2.67</w:t>
            </w:r>
          </w:p>
        </w:tc>
        <w:tc>
          <w:tcPr>
            <w:tcW w:w="2346" w:type="dxa"/>
          </w:tcPr>
          <w:p w14:paraId="1255259D"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80.0% - 82.9%</w:t>
            </w:r>
          </w:p>
        </w:tc>
      </w:tr>
      <w:tr w:rsidR="00343643" w:rsidRPr="00F2358E" w14:paraId="30DDC0DC" w14:textId="77777777" w:rsidTr="00343643">
        <w:trPr>
          <w:trHeight w:val="276"/>
        </w:trPr>
        <w:tc>
          <w:tcPr>
            <w:cnfStyle w:val="001000000000" w:firstRow="0" w:lastRow="0" w:firstColumn="1" w:lastColumn="0" w:oddVBand="0" w:evenVBand="0" w:oddHBand="0" w:evenHBand="0" w:firstRowFirstColumn="0" w:firstRowLastColumn="0" w:lastRowFirstColumn="0" w:lastRowLastColumn="0"/>
            <w:tcW w:w="1536" w:type="dxa"/>
          </w:tcPr>
          <w:p w14:paraId="351346A0" w14:textId="77777777" w:rsidR="00343643" w:rsidRPr="00F2358E" w:rsidRDefault="00343643" w:rsidP="00F2358E">
            <w:pPr>
              <w:pStyle w:val="NoSpacing"/>
            </w:pPr>
            <w:r w:rsidRPr="00F2358E">
              <w:t>C+</w:t>
            </w:r>
          </w:p>
        </w:tc>
        <w:tc>
          <w:tcPr>
            <w:tcW w:w="1896" w:type="dxa"/>
          </w:tcPr>
          <w:p w14:paraId="3F8927E4" w14:textId="77777777" w:rsidR="00343643" w:rsidRPr="00F2358E" w:rsidRDefault="00343643" w:rsidP="00F2358E">
            <w:pPr>
              <w:pStyle w:val="NoSpacing"/>
              <w:cnfStyle w:val="000000000000" w:firstRow="0" w:lastRow="0" w:firstColumn="0" w:lastColumn="0" w:oddVBand="0" w:evenVBand="0" w:oddHBand="0" w:evenHBand="0" w:firstRowFirstColumn="0" w:firstRowLastColumn="0" w:lastRowFirstColumn="0" w:lastRowLastColumn="0"/>
            </w:pPr>
            <w:r w:rsidRPr="00F2358E">
              <w:t>2.33</w:t>
            </w:r>
          </w:p>
        </w:tc>
        <w:tc>
          <w:tcPr>
            <w:tcW w:w="2346" w:type="dxa"/>
          </w:tcPr>
          <w:p w14:paraId="0BCC1F69" w14:textId="77777777" w:rsidR="00343643" w:rsidRPr="00F2358E" w:rsidRDefault="00343643" w:rsidP="00F2358E">
            <w:pPr>
              <w:pStyle w:val="NoSpacing"/>
              <w:cnfStyle w:val="000000000000" w:firstRow="0" w:lastRow="0" w:firstColumn="0" w:lastColumn="0" w:oddVBand="0" w:evenVBand="0" w:oddHBand="0" w:evenHBand="0" w:firstRowFirstColumn="0" w:firstRowLastColumn="0" w:lastRowFirstColumn="0" w:lastRowLastColumn="0"/>
            </w:pPr>
            <w:r w:rsidRPr="00F2358E">
              <w:t>77.0% - 79.9%</w:t>
            </w:r>
          </w:p>
        </w:tc>
      </w:tr>
      <w:tr w:rsidR="00343643" w:rsidRPr="00F2358E" w14:paraId="2EF0F39E"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463C76DD" w14:textId="77777777" w:rsidR="00343643" w:rsidRPr="00F2358E" w:rsidRDefault="00343643" w:rsidP="00F2358E">
            <w:pPr>
              <w:pStyle w:val="NoSpacing"/>
            </w:pPr>
            <w:r w:rsidRPr="00F2358E">
              <w:t>C</w:t>
            </w:r>
          </w:p>
        </w:tc>
        <w:tc>
          <w:tcPr>
            <w:tcW w:w="1896" w:type="dxa"/>
          </w:tcPr>
          <w:p w14:paraId="18A8C5F1"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2.00</w:t>
            </w:r>
          </w:p>
        </w:tc>
        <w:tc>
          <w:tcPr>
            <w:tcW w:w="2346" w:type="dxa"/>
          </w:tcPr>
          <w:p w14:paraId="1DBE773C"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73.0% - 76.9%</w:t>
            </w:r>
          </w:p>
        </w:tc>
      </w:tr>
      <w:tr w:rsidR="00343643" w:rsidRPr="00F2358E" w14:paraId="276AAFF5" w14:textId="77777777" w:rsidTr="00343643">
        <w:trPr>
          <w:trHeight w:val="276"/>
        </w:trPr>
        <w:tc>
          <w:tcPr>
            <w:cnfStyle w:val="001000000000" w:firstRow="0" w:lastRow="0" w:firstColumn="1" w:lastColumn="0" w:oddVBand="0" w:evenVBand="0" w:oddHBand="0" w:evenHBand="0" w:firstRowFirstColumn="0" w:firstRowLastColumn="0" w:lastRowFirstColumn="0" w:lastRowLastColumn="0"/>
            <w:tcW w:w="1536" w:type="dxa"/>
          </w:tcPr>
          <w:p w14:paraId="6CBEBE6D" w14:textId="77777777" w:rsidR="00343643" w:rsidRPr="00F2358E" w:rsidRDefault="00343643" w:rsidP="00F2358E">
            <w:pPr>
              <w:pStyle w:val="NoSpacing"/>
            </w:pPr>
            <w:r w:rsidRPr="00F2358E">
              <w:t>C-</w:t>
            </w:r>
          </w:p>
        </w:tc>
        <w:tc>
          <w:tcPr>
            <w:tcW w:w="1896" w:type="dxa"/>
          </w:tcPr>
          <w:p w14:paraId="6C9C471E" w14:textId="77777777" w:rsidR="00343643" w:rsidRPr="00F2358E" w:rsidRDefault="00343643" w:rsidP="00F2358E">
            <w:pPr>
              <w:pStyle w:val="NoSpacing"/>
              <w:cnfStyle w:val="000000000000" w:firstRow="0" w:lastRow="0" w:firstColumn="0" w:lastColumn="0" w:oddVBand="0" w:evenVBand="0" w:oddHBand="0" w:evenHBand="0" w:firstRowFirstColumn="0" w:firstRowLastColumn="0" w:lastRowFirstColumn="0" w:lastRowLastColumn="0"/>
            </w:pPr>
            <w:r w:rsidRPr="00F2358E">
              <w:t>1.67</w:t>
            </w:r>
          </w:p>
        </w:tc>
        <w:tc>
          <w:tcPr>
            <w:tcW w:w="2346" w:type="dxa"/>
          </w:tcPr>
          <w:p w14:paraId="42613CEA" w14:textId="77777777" w:rsidR="00343643" w:rsidRPr="00F2358E" w:rsidRDefault="00343643" w:rsidP="00F2358E">
            <w:pPr>
              <w:pStyle w:val="NoSpacing"/>
              <w:cnfStyle w:val="000000000000" w:firstRow="0" w:lastRow="0" w:firstColumn="0" w:lastColumn="0" w:oddVBand="0" w:evenVBand="0" w:oddHBand="0" w:evenHBand="0" w:firstRowFirstColumn="0" w:firstRowLastColumn="0" w:lastRowFirstColumn="0" w:lastRowLastColumn="0"/>
            </w:pPr>
            <w:r w:rsidRPr="00F2358E">
              <w:t>70.0% - 72.9%</w:t>
            </w:r>
          </w:p>
        </w:tc>
      </w:tr>
      <w:tr w:rsidR="00343643" w:rsidRPr="00F2358E" w14:paraId="7BD77EE8"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42ED0067" w14:textId="77777777" w:rsidR="00343643" w:rsidRPr="00F2358E" w:rsidRDefault="00343643" w:rsidP="00F2358E">
            <w:pPr>
              <w:pStyle w:val="NoSpacing"/>
            </w:pPr>
            <w:r w:rsidRPr="00F2358E">
              <w:t>D+</w:t>
            </w:r>
          </w:p>
        </w:tc>
        <w:tc>
          <w:tcPr>
            <w:tcW w:w="1896" w:type="dxa"/>
          </w:tcPr>
          <w:p w14:paraId="19354450"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1.33</w:t>
            </w:r>
          </w:p>
        </w:tc>
        <w:tc>
          <w:tcPr>
            <w:tcW w:w="2346" w:type="dxa"/>
          </w:tcPr>
          <w:p w14:paraId="2B8A832F"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67.0% - 69.9%</w:t>
            </w:r>
          </w:p>
        </w:tc>
      </w:tr>
      <w:tr w:rsidR="00343643" w:rsidRPr="00F2358E" w14:paraId="360A1947" w14:textId="77777777" w:rsidTr="00343643">
        <w:trPr>
          <w:trHeight w:val="276"/>
        </w:trPr>
        <w:tc>
          <w:tcPr>
            <w:cnfStyle w:val="001000000000" w:firstRow="0" w:lastRow="0" w:firstColumn="1" w:lastColumn="0" w:oddVBand="0" w:evenVBand="0" w:oddHBand="0" w:evenHBand="0" w:firstRowFirstColumn="0" w:firstRowLastColumn="0" w:lastRowFirstColumn="0" w:lastRowLastColumn="0"/>
            <w:tcW w:w="1536" w:type="dxa"/>
          </w:tcPr>
          <w:p w14:paraId="152C8C82" w14:textId="77777777" w:rsidR="00343643" w:rsidRPr="00F2358E" w:rsidRDefault="00343643" w:rsidP="00F2358E">
            <w:pPr>
              <w:pStyle w:val="NoSpacing"/>
            </w:pPr>
            <w:r w:rsidRPr="00F2358E">
              <w:t>D</w:t>
            </w:r>
          </w:p>
        </w:tc>
        <w:tc>
          <w:tcPr>
            <w:tcW w:w="1896" w:type="dxa"/>
          </w:tcPr>
          <w:p w14:paraId="69172560" w14:textId="77777777" w:rsidR="00343643" w:rsidRPr="00F2358E" w:rsidRDefault="00343643" w:rsidP="00F2358E">
            <w:pPr>
              <w:pStyle w:val="NoSpacing"/>
              <w:cnfStyle w:val="000000000000" w:firstRow="0" w:lastRow="0" w:firstColumn="0" w:lastColumn="0" w:oddVBand="0" w:evenVBand="0" w:oddHBand="0" w:evenHBand="0" w:firstRowFirstColumn="0" w:firstRowLastColumn="0" w:lastRowFirstColumn="0" w:lastRowLastColumn="0"/>
            </w:pPr>
            <w:r w:rsidRPr="00F2358E">
              <w:t>1.00</w:t>
            </w:r>
          </w:p>
        </w:tc>
        <w:tc>
          <w:tcPr>
            <w:tcW w:w="2346" w:type="dxa"/>
          </w:tcPr>
          <w:p w14:paraId="3801BF06" w14:textId="77777777" w:rsidR="00343643" w:rsidRPr="00F2358E" w:rsidRDefault="00343643" w:rsidP="00F2358E">
            <w:pPr>
              <w:pStyle w:val="NoSpacing"/>
              <w:cnfStyle w:val="000000000000" w:firstRow="0" w:lastRow="0" w:firstColumn="0" w:lastColumn="0" w:oddVBand="0" w:evenVBand="0" w:oddHBand="0" w:evenHBand="0" w:firstRowFirstColumn="0" w:firstRowLastColumn="0" w:lastRowFirstColumn="0" w:lastRowLastColumn="0"/>
            </w:pPr>
            <w:r w:rsidRPr="00F2358E">
              <w:t>60.0% - 66.9%</w:t>
            </w:r>
          </w:p>
        </w:tc>
      </w:tr>
      <w:tr w:rsidR="00343643" w:rsidRPr="00F2358E" w14:paraId="50248AF6" w14:textId="77777777" w:rsidTr="00343643">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1536" w:type="dxa"/>
          </w:tcPr>
          <w:p w14:paraId="3C78994D" w14:textId="77777777" w:rsidR="00343643" w:rsidRPr="00F2358E" w:rsidRDefault="00343643" w:rsidP="00F2358E">
            <w:pPr>
              <w:pStyle w:val="NoSpacing"/>
            </w:pPr>
            <w:r w:rsidRPr="00F2358E">
              <w:t>F</w:t>
            </w:r>
          </w:p>
        </w:tc>
        <w:tc>
          <w:tcPr>
            <w:tcW w:w="1896" w:type="dxa"/>
          </w:tcPr>
          <w:p w14:paraId="799DF703"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0</w:t>
            </w:r>
          </w:p>
        </w:tc>
        <w:tc>
          <w:tcPr>
            <w:tcW w:w="2346" w:type="dxa"/>
          </w:tcPr>
          <w:p w14:paraId="3C1A1857" w14:textId="77777777" w:rsidR="00343643" w:rsidRPr="00F2358E" w:rsidRDefault="00343643" w:rsidP="00F2358E">
            <w:pPr>
              <w:pStyle w:val="NoSpacing"/>
              <w:cnfStyle w:val="000000100000" w:firstRow="0" w:lastRow="0" w:firstColumn="0" w:lastColumn="0" w:oddVBand="0" w:evenVBand="0" w:oddHBand="1" w:evenHBand="0" w:firstRowFirstColumn="0" w:firstRowLastColumn="0" w:lastRowFirstColumn="0" w:lastRowLastColumn="0"/>
            </w:pPr>
            <w:r w:rsidRPr="00F2358E">
              <w:t>59.9 or below</w:t>
            </w:r>
          </w:p>
        </w:tc>
      </w:tr>
    </w:tbl>
    <w:p w14:paraId="24F3D28A" w14:textId="77777777" w:rsidR="00343643" w:rsidRPr="00F2358E" w:rsidRDefault="00343643" w:rsidP="00F2358E">
      <w:pPr>
        <w:pStyle w:val="NoSpacing"/>
      </w:pPr>
    </w:p>
    <w:p w14:paraId="38E0C370" w14:textId="77777777" w:rsidR="00343643" w:rsidRPr="00F2358E" w:rsidRDefault="00343643" w:rsidP="0067675A">
      <w:pPr>
        <w:pStyle w:val="Heading2"/>
        <w:rPr>
          <w:rStyle w:val="BookTitle"/>
          <w:rFonts w:ascii="Times New Roman" w:eastAsia="Times" w:hAnsi="Times New Roman" w:cs="Times New Roman"/>
          <w:b/>
          <w:bCs w:val="0"/>
          <w:smallCaps w:val="0"/>
          <w:color w:val="212121"/>
          <w:u w:val="none"/>
        </w:rPr>
      </w:pPr>
      <w:r w:rsidRPr="00F2358E">
        <w:rPr>
          <w:rStyle w:val="BookTitle"/>
          <w:rFonts w:ascii="Times New Roman" w:eastAsia="Times" w:hAnsi="Times New Roman" w:cs="Times New Roman"/>
          <w:b/>
          <w:bCs w:val="0"/>
          <w:smallCaps w:val="0"/>
          <w:color w:val="212121"/>
          <w:u w:val="none"/>
        </w:rPr>
        <w:t xml:space="preserve">Academic Integrity: </w:t>
      </w:r>
    </w:p>
    <w:p w14:paraId="21B66838" w14:textId="77777777" w:rsidR="001960C2" w:rsidRPr="00F2358E" w:rsidRDefault="001960C2" w:rsidP="00F2358E">
      <w:pPr>
        <w:pStyle w:val="Normal0"/>
        <w:rPr>
          <w:rStyle w:val="BookTitle"/>
          <w:rFonts w:ascii="Times New Roman" w:eastAsiaTheme="minorEastAsia" w:hAnsi="Times New Roman" w:cs="Times New Roman"/>
          <w:b w:val="0"/>
          <w:bCs w:val="0"/>
          <w:smallCaps w:val="0"/>
        </w:rPr>
      </w:pPr>
      <w:r w:rsidRPr="00F2358E">
        <w:t xml:space="preserve">Students must be familiar with and abide by the University’s policies and procedures </w:t>
      </w:r>
      <w:bookmarkStart w:id="0" w:name="_Hlk52370015"/>
      <w:r w:rsidRPr="00F2358E">
        <w:t xml:space="preserve">on the </w:t>
      </w:r>
      <w:hyperlink r:id="rId11" w:history="1">
        <w:r w:rsidRPr="00F2358E">
          <w:rPr>
            <w:rStyle w:val="Hyperlink"/>
            <w:color w:val="auto"/>
          </w:rPr>
          <w:t>Academic Integrity website</w:t>
        </w:r>
      </w:hyperlink>
      <w:r w:rsidRPr="00F2358E">
        <w:t>.</w:t>
      </w:r>
    </w:p>
    <w:bookmarkEnd w:id="0"/>
    <w:p w14:paraId="6DC8FF96" w14:textId="77777777" w:rsidR="00343643" w:rsidRPr="00F2358E" w:rsidRDefault="00343643" w:rsidP="0067675A">
      <w:pPr>
        <w:pStyle w:val="Heading2"/>
        <w:rPr>
          <w:rStyle w:val="BookTitle"/>
          <w:rFonts w:ascii="Times New Roman" w:eastAsia="Times" w:hAnsi="Times New Roman" w:cs="Times New Roman"/>
          <w:b/>
          <w:bCs w:val="0"/>
          <w:smallCaps w:val="0"/>
          <w:color w:val="212121"/>
          <w:u w:val="none"/>
        </w:rPr>
      </w:pPr>
      <w:r w:rsidRPr="00F2358E">
        <w:rPr>
          <w:rStyle w:val="BookTitle"/>
          <w:rFonts w:ascii="Times New Roman" w:eastAsia="Times" w:hAnsi="Times New Roman" w:cs="Times New Roman"/>
          <w:b/>
          <w:bCs w:val="0"/>
          <w:smallCaps w:val="0"/>
          <w:color w:val="212121"/>
          <w:u w:val="none"/>
        </w:rPr>
        <w:t xml:space="preserve">Accessibility Resources: </w:t>
      </w:r>
    </w:p>
    <w:p w14:paraId="53021620" w14:textId="77777777" w:rsidR="00126344" w:rsidRPr="00126344" w:rsidRDefault="00126344" w:rsidP="00126344">
      <w:pPr>
        <w:pStyle w:val="Normal0"/>
        <w:rPr>
          <w:rStyle w:val="BookTitle"/>
          <w:rFonts w:ascii="Arial" w:eastAsia="Times" w:hAnsi="Arial" w:cs="Arial"/>
          <w:szCs w:val="22"/>
        </w:rPr>
      </w:pPr>
      <w:r w:rsidRPr="00126344">
        <w:rPr>
          <w:szCs w:val="22"/>
        </w:rPr>
        <w:t xml:space="preserve">Accessibility Resources coordinates reasonable accommodations for equitable access to UB for students with disabilities. Visit 60 Capen Hall, North Campus, call (716) 645-2608, or email at stu-accessibility@buffalo.edu. Additional information is located at the </w:t>
      </w:r>
      <w:hyperlink r:id="rId12" w:history="1">
        <w:r w:rsidRPr="00126344">
          <w:rPr>
            <w:rStyle w:val="Hyperlink"/>
            <w:color w:val="auto"/>
            <w:szCs w:val="22"/>
          </w:rPr>
          <w:t>Accessibility Resources website</w:t>
        </w:r>
      </w:hyperlink>
      <w:r w:rsidRPr="00126344">
        <w:rPr>
          <w:szCs w:val="22"/>
        </w:rPr>
        <w:t xml:space="preserve">. </w:t>
      </w:r>
    </w:p>
    <w:p w14:paraId="1217B48D" w14:textId="77777777" w:rsidR="00126344" w:rsidRPr="00126344" w:rsidRDefault="00126344" w:rsidP="00126344">
      <w:pPr>
        <w:pStyle w:val="Heading2"/>
        <w:rPr>
          <w:sz w:val="22"/>
          <w:szCs w:val="22"/>
        </w:rPr>
      </w:pPr>
      <w:r w:rsidRPr="00126344">
        <w:rPr>
          <w:rStyle w:val="BookTitle"/>
          <w:rFonts w:ascii="Times New Roman" w:eastAsia="Times" w:hAnsi="Times New Roman"/>
          <w:b/>
          <w:bCs w:val="0"/>
          <w:smallCaps w:val="0"/>
          <w:sz w:val="22"/>
          <w:szCs w:val="22"/>
          <w:u w:val="none"/>
        </w:rPr>
        <w:t>Available Resources on Sexual Assault:</w:t>
      </w:r>
      <w:r w:rsidRPr="00126344">
        <w:rPr>
          <w:sz w:val="22"/>
          <w:szCs w:val="22"/>
        </w:rPr>
        <w:t xml:space="preserve"> </w:t>
      </w:r>
    </w:p>
    <w:p w14:paraId="3276406B" w14:textId="77777777" w:rsidR="00126344" w:rsidRPr="00126344" w:rsidRDefault="00126344" w:rsidP="00126344">
      <w:pPr>
        <w:pStyle w:val="Normal0"/>
        <w:rPr>
          <w:rStyle w:val="Hyperlink"/>
          <w:color w:val="auto"/>
          <w:szCs w:val="22"/>
        </w:rPr>
      </w:pPr>
      <w:r w:rsidRPr="00126344">
        <w:rPr>
          <w:szCs w:val="22"/>
        </w:rPr>
        <w:t xml:space="preserve">UB is committed to providing an environment free of all forms of discrimination and sexual harassment, including sexual assault, domestic and dating violence and stalking. You may call </w:t>
      </w:r>
      <w:hyperlink r:id="rId13" w:history="1">
        <w:r w:rsidRPr="00126344">
          <w:rPr>
            <w:rStyle w:val="Hyperlink"/>
            <w:color w:val="auto"/>
            <w:szCs w:val="22"/>
          </w:rPr>
          <w:t>UB’s Office of Equity, Diversity and Inclusion</w:t>
        </w:r>
      </w:hyperlink>
      <w:r w:rsidRPr="00126344">
        <w:rPr>
          <w:szCs w:val="22"/>
        </w:rPr>
        <w:t xml:space="preserve"> at (716) 645-2266 for more information or </w:t>
      </w:r>
      <w:hyperlink r:id="rId14" w:history="1">
        <w:r w:rsidRPr="00126344">
          <w:rPr>
            <w:rStyle w:val="Hyperlink"/>
            <w:color w:val="auto"/>
            <w:szCs w:val="22"/>
          </w:rPr>
          <w:t>visit their website</w:t>
        </w:r>
      </w:hyperlink>
      <w:r w:rsidRPr="00126344">
        <w:rPr>
          <w:szCs w:val="22"/>
        </w:rPr>
        <w:t>.</w:t>
      </w:r>
    </w:p>
    <w:p w14:paraId="7D920F60" w14:textId="77777777" w:rsidR="00343643" w:rsidRPr="00126344" w:rsidRDefault="00343643" w:rsidP="00F2358E">
      <w:pPr>
        <w:pStyle w:val="Normal0"/>
        <w:rPr>
          <w:rStyle w:val="BookTitle"/>
          <w:rFonts w:ascii="Times New Roman" w:eastAsia="Times" w:hAnsi="Times New Roman" w:cs="Times New Roman"/>
          <w:b w:val="0"/>
          <w:bCs w:val="0"/>
          <w:smallCaps w:val="0"/>
          <w:color w:val="212121"/>
          <w:szCs w:val="22"/>
          <w:u w:val="none"/>
        </w:rPr>
      </w:pPr>
      <w:r w:rsidRPr="00126344">
        <w:rPr>
          <w:rStyle w:val="BookTitle"/>
          <w:rFonts w:ascii="Times New Roman" w:eastAsia="Times" w:hAnsi="Times New Roman" w:cs="Times New Roman"/>
          <w:bCs w:val="0"/>
          <w:smallCaps w:val="0"/>
          <w:color w:val="212121"/>
          <w:szCs w:val="22"/>
          <w:u w:val="none"/>
        </w:rPr>
        <w:t>Counseling Services:</w:t>
      </w:r>
    </w:p>
    <w:p w14:paraId="6764D327" w14:textId="77777777" w:rsidR="00343643" w:rsidRPr="00F2358E" w:rsidRDefault="00343643" w:rsidP="00F2358E">
      <w:pPr>
        <w:pStyle w:val="Normal0"/>
      </w:pPr>
      <w:r w:rsidRPr="00F2358E">
        <w:t>As a student you may experience a range of issues that can cause barriers to learning or reduce your ability to participate in daily activities. These might include strained relationships, anxiety, high levels of stress, alcohol/drug problems, feeling down, health concerns, or unwanted sexual experiences. Counseling, Health Services, and Health Promotion are here to help with these or other concerns. You learn can more about these programs and services by contacting:</w:t>
      </w:r>
    </w:p>
    <w:p w14:paraId="220573FC" w14:textId="77777777" w:rsidR="00343643" w:rsidRPr="00F2358E" w:rsidRDefault="00343643" w:rsidP="00F2358E">
      <w:pPr>
        <w:pStyle w:val="Normal0"/>
        <w:numPr>
          <w:ilvl w:val="0"/>
          <w:numId w:val="19"/>
        </w:numPr>
      </w:pPr>
      <w:r w:rsidRPr="00F2358E">
        <w:t>Counseling Services:</w:t>
      </w:r>
    </w:p>
    <w:p w14:paraId="463F44D7" w14:textId="77777777" w:rsidR="00343643" w:rsidRPr="00F2358E" w:rsidRDefault="00343643" w:rsidP="00F2358E">
      <w:pPr>
        <w:pStyle w:val="Normal0"/>
        <w:numPr>
          <w:ilvl w:val="1"/>
          <w:numId w:val="19"/>
        </w:numPr>
      </w:pPr>
      <w:r w:rsidRPr="00F2358E">
        <w:t>120 Richmond Quad (North Campus), phone 716-645-2720</w:t>
      </w:r>
    </w:p>
    <w:p w14:paraId="0440D216" w14:textId="77777777" w:rsidR="00343643" w:rsidRPr="00F2358E" w:rsidRDefault="00343643" w:rsidP="00F2358E">
      <w:pPr>
        <w:pStyle w:val="Normal0"/>
        <w:numPr>
          <w:ilvl w:val="1"/>
          <w:numId w:val="19"/>
        </w:numPr>
      </w:pPr>
      <w:r w:rsidRPr="00F2358E">
        <w:t>202 Michael Hall (South Campus), phone: 716-829-5800</w:t>
      </w:r>
    </w:p>
    <w:p w14:paraId="45C851A3" w14:textId="77777777" w:rsidR="00343643" w:rsidRPr="00F2358E" w:rsidRDefault="00343643" w:rsidP="00F2358E">
      <w:pPr>
        <w:pStyle w:val="Normal0"/>
        <w:numPr>
          <w:ilvl w:val="0"/>
          <w:numId w:val="19"/>
        </w:numPr>
      </w:pPr>
      <w:r w:rsidRPr="00F2358E">
        <w:lastRenderedPageBreak/>
        <w:t>Health Services: Michael Hall (South Campus), phone: 716- 829-3316</w:t>
      </w:r>
    </w:p>
    <w:p w14:paraId="30F0A42C" w14:textId="77777777" w:rsidR="00343643" w:rsidRPr="00F2358E" w:rsidRDefault="00343643" w:rsidP="00F2358E">
      <w:pPr>
        <w:pStyle w:val="Normal0"/>
        <w:numPr>
          <w:ilvl w:val="0"/>
          <w:numId w:val="19"/>
        </w:numPr>
        <w:rPr>
          <w:rStyle w:val="BookTitle"/>
          <w:rFonts w:ascii="Times New Roman" w:eastAsiaTheme="minorEastAsia" w:hAnsi="Times New Roman" w:cs="Times New Roman"/>
          <w:b w:val="0"/>
          <w:bCs w:val="0"/>
          <w:smallCaps w:val="0"/>
        </w:rPr>
      </w:pPr>
      <w:r w:rsidRPr="00F2358E">
        <w:t>Health Promotion: 114 Student Union (North Campus), phone: 716- 645-2837</w:t>
      </w:r>
    </w:p>
    <w:p w14:paraId="1AD6EA2D" w14:textId="77777777" w:rsidR="00860997" w:rsidRPr="00860997" w:rsidRDefault="00343643" w:rsidP="00860997">
      <w:pPr>
        <w:pStyle w:val="Heading2"/>
      </w:pPr>
      <w:r w:rsidRPr="00F2358E">
        <w:rPr>
          <w:rStyle w:val="BookTitle"/>
          <w:rFonts w:ascii="Times New Roman" w:eastAsia="Times" w:hAnsi="Times New Roman" w:cs="Times New Roman"/>
          <w:b/>
          <w:bCs w:val="0"/>
          <w:smallCaps w:val="0"/>
          <w:color w:val="212121"/>
          <w:u w:val="none"/>
        </w:rPr>
        <w:t xml:space="preserve">UB Curriculum Capstone: </w:t>
      </w:r>
      <w:r w:rsidR="00860997">
        <w:rPr>
          <w:rFonts w:ascii="Calibri Light" w:hAnsi="Calibri Light" w:cs="Calibri Light"/>
          <w:sz w:val="24"/>
        </w:rPr>
        <w:br/>
      </w:r>
      <w:r w:rsidR="00860997" w:rsidRPr="00860997">
        <w:rPr>
          <w:b w:val="0"/>
          <w:color w:val="auto"/>
          <w:sz w:val="22"/>
          <w:shd w:val="clear" w:color="auto" w:fill="auto"/>
        </w:rPr>
        <w:t>If you are completing this course as part of your UB Curriculum requirements, please select an ‘artifact’ from this course that is representative of your learning and save it in a safe location with a clear title. Your final UB Curriculum requirement, UBC 399: UB Curriculum Capstone, will require you to submit these ‘artifacts’ as you process and reflect on your achievement and growth through the UB Curriculum. Artifacts include homework assignments, exams, research papers, projects, lab reports, presentations, and other coursework. For more information, see the UB Curriculum Capstone website:</w:t>
      </w:r>
      <w:r w:rsidR="00860997" w:rsidRPr="00860997">
        <w:rPr>
          <w:rFonts w:ascii="Calibri Light" w:hAnsi="Calibri Light" w:cs="Calibri Light"/>
          <w:b w:val="0"/>
          <w:sz w:val="24"/>
        </w:rPr>
        <w:t xml:space="preserve"> </w:t>
      </w:r>
      <w:hyperlink r:id="rId15" w:history="1">
        <w:r w:rsidR="00860997" w:rsidRPr="00860997">
          <w:rPr>
            <w:rStyle w:val="Hyperlink"/>
            <w:b w:val="0"/>
            <w:color w:val="000000"/>
            <w:sz w:val="24"/>
          </w:rPr>
          <w:t>https://www.buffalo.edu/ubcurriculum/capstone.html</w:t>
        </w:r>
      </w:hyperlink>
      <w:r w:rsidR="00860997" w:rsidRPr="00860997">
        <w:rPr>
          <w:rFonts w:ascii="Calibri Light" w:hAnsi="Calibri Light" w:cs="Calibri Light"/>
          <w:b w:val="0"/>
          <w:sz w:val="24"/>
        </w:rPr>
        <w:t>.</w:t>
      </w:r>
    </w:p>
    <w:p w14:paraId="41E2910C" w14:textId="77777777" w:rsidR="00343643" w:rsidRPr="00F2358E" w:rsidRDefault="00343643" w:rsidP="0067675A">
      <w:pPr>
        <w:pStyle w:val="Heading2"/>
      </w:pPr>
      <w:r w:rsidRPr="00F2358E">
        <w:rPr>
          <w:rStyle w:val="BookTitle"/>
          <w:rFonts w:ascii="Times New Roman" w:eastAsia="Times" w:hAnsi="Times New Roman" w:cs="Times New Roman"/>
          <w:b/>
          <w:bCs w:val="0"/>
          <w:smallCaps w:val="0"/>
          <w:color w:val="212121"/>
          <w:u w:val="none"/>
        </w:rPr>
        <w:t>Course Fees:</w:t>
      </w:r>
      <w:r w:rsidRPr="00F2358E">
        <w:t xml:space="preserve"> </w:t>
      </w:r>
    </w:p>
    <w:p w14:paraId="2BE344E3" w14:textId="77777777" w:rsidR="00343643" w:rsidRPr="00F2358E" w:rsidRDefault="00343643" w:rsidP="00F2358E">
      <w:pPr>
        <w:pStyle w:val="Normal0"/>
      </w:pPr>
      <w:r w:rsidRPr="00F2358E">
        <w:t>List here if applicable</w:t>
      </w:r>
    </w:p>
    <w:p w14:paraId="48D695E6" w14:textId="77777777" w:rsidR="00343643" w:rsidRPr="00F2358E" w:rsidRDefault="00343643" w:rsidP="0067675A">
      <w:pPr>
        <w:pStyle w:val="Heading2"/>
        <w:rPr>
          <w:rStyle w:val="BookTitle"/>
          <w:rFonts w:ascii="Times New Roman" w:eastAsia="Times" w:hAnsi="Times New Roman" w:cs="Times New Roman"/>
          <w:b/>
          <w:bCs w:val="0"/>
          <w:smallCaps w:val="0"/>
          <w:color w:val="212121"/>
          <w:u w:val="none"/>
        </w:rPr>
      </w:pPr>
      <w:r w:rsidRPr="00F2358E">
        <w:rPr>
          <w:rStyle w:val="SubtleEmphasis"/>
          <w:i w:val="0"/>
          <w:iCs w:val="0"/>
          <w:color w:val="212121"/>
        </w:rPr>
        <w:t>Optional Components</w:t>
      </w:r>
    </w:p>
    <w:p w14:paraId="6B4185CC" w14:textId="77777777" w:rsidR="00343643" w:rsidRPr="00F2358E" w:rsidRDefault="00343643" w:rsidP="00F2358E">
      <w:pPr>
        <w:pStyle w:val="Heading3"/>
        <w:rPr>
          <w:rStyle w:val="BookTitle"/>
          <w:rFonts w:ascii="Times New Roman" w:eastAsia="Times" w:hAnsi="Times New Roman" w:cs="Times New Roman"/>
          <w:b/>
          <w:bCs w:val="0"/>
          <w:smallCaps w:val="0"/>
          <w:u w:val="none"/>
        </w:rPr>
      </w:pPr>
      <w:r w:rsidRPr="00F2358E">
        <w:rPr>
          <w:rStyle w:val="BookTitle"/>
          <w:rFonts w:ascii="Times New Roman" w:eastAsia="Times" w:hAnsi="Times New Roman" w:cs="Times New Roman"/>
          <w:b/>
          <w:bCs w:val="0"/>
          <w:smallCaps w:val="0"/>
          <w:u w:val="none"/>
        </w:rPr>
        <w:t>Attendance Policy</w:t>
      </w:r>
    </w:p>
    <w:p w14:paraId="4BB6DCDE" w14:textId="77777777" w:rsidR="00343643" w:rsidRPr="00E169BE" w:rsidRDefault="00343643" w:rsidP="00F2358E">
      <w:pPr>
        <w:pStyle w:val="Normal0"/>
        <w:numPr>
          <w:ilvl w:val="0"/>
          <w:numId w:val="20"/>
        </w:numPr>
        <w:rPr>
          <w:color w:val="990000"/>
        </w:rPr>
      </w:pPr>
      <w:r w:rsidRPr="00E169BE">
        <w:rPr>
          <w:color w:val="990000"/>
        </w:rPr>
        <w:t xml:space="preserve">May include reference to: </w:t>
      </w:r>
    </w:p>
    <w:p w14:paraId="414410EE" w14:textId="77777777" w:rsidR="00343643" w:rsidRPr="00E169BE" w:rsidRDefault="00343643" w:rsidP="00F2358E">
      <w:pPr>
        <w:pStyle w:val="Normal0"/>
        <w:numPr>
          <w:ilvl w:val="0"/>
          <w:numId w:val="20"/>
        </w:numPr>
        <w:rPr>
          <w:color w:val="990000"/>
        </w:rPr>
      </w:pPr>
      <w:r w:rsidRPr="00E169BE">
        <w:rPr>
          <w:color w:val="990000"/>
        </w:rPr>
        <w:t>Attendance issues related to religious observances</w:t>
      </w:r>
    </w:p>
    <w:p w14:paraId="6B4A63F5" w14:textId="77777777" w:rsidR="00343643" w:rsidRPr="00E169BE" w:rsidRDefault="00343643" w:rsidP="00F2358E">
      <w:pPr>
        <w:pStyle w:val="Normal0"/>
        <w:numPr>
          <w:ilvl w:val="0"/>
          <w:numId w:val="20"/>
        </w:numPr>
        <w:rPr>
          <w:color w:val="990000"/>
        </w:rPr>
      </w:pPr>
      <w:r w:rsidRPr="00E169BE">
        <w:rPr>
          <w:color w:val="990000"/>
        </w:rPr>
        <w:t>University sanctioned events</w:t>
      </w:r>
    </w:p>
    <w:p w14:paraId="1FE9A49E" w14:textId="77777777" w:rsidR="00343643" w:rsidRPr="00E169BE" w:rsidRDefault="00343643" w:rsidP="00F2358E">
      <w:pPr>
        <w:pStyle w:val="Normal0"/>
        <w:numPr>
          <w:ilvl w:val="0"/>
          <w:numId w:val="20"/>
        </w:numPr>
        <w:rPr>
          <w:color w:val="990000"/>
        </w:rPr>
      </w:pPr>
      <w:r w:rsidRPr="00E169BE">
        <w:rPr>
          <w:color w:val="990000"/>
        </w:rPr>
        <w:t>Athletic commitments</w:t>
      </w:r>
    </w:p>
    <w:p w14:paraId="615D098D" w14:textId="77777777" w:rsidR="00343643" w:rsidRPr="00E169BE" w:rsidRDefault="00343643" w:rsidP="00F2358E">
      <w:pPr>
        <w:pStyle w:val="Normal0"/>
        <w:numPr>
          <w:ilvl w:val="0"/>
          <w:numId w:val="20"/>
        </w:numPr>
        <w:rPr>
          <w:color w:val="990000"/>
        </w:rPr>
      </w:pPr>
      <w:r w:rsidRPr="00E169BE">
        <w:rPr>
          <w:color w:val="990000"/>
        </w:rPr>
        <w:t>Family/Work obligations/emergencies</w:t>
      </w:r>
    </w:p>
    <w:p w14:paraId="4944635A" w14:textId="77777777" w:rsidR="00343643" w:rsidRPr="00E169BE" w:rsidRDefault="00343643" w:rsidP="00F2358E">
      <w:pPr>
        <w:pStyle w:val="Normal0"/>
        <w:numPr>
          <w:ilvl w:val="0"/>
          <w:numId w:val="20"/>
        </w:numPr>
        <w:rPr>
          <w:color w:val="990000"/>
        </w:rPr>
      </w:pPr>
      <w:r w:rsidRPr="00E169BE">
        <w:rPr>
          <w:color w:val="990000"/>
        </w:rPr>
        <w:t>Course Cancellation/ Emergency Planning</w:t>
      </w:r>
    </w:p>
    <w:p w14:paraId="5FA45A92" w14:textId="77777777" w:rsidR="00343643" w:rsidRPr="00E169BE" w:rsidRDefault="00343643" w:rsidP="00F2358E">
      <w:pPr>
        <w:pStyle w:val="Normal0"/>
        <w:numPr>
          <w:ilvl w:val="0"/>
          <w:numId w:val="20"/>
        </w:numPr>
        <w:rPr>
          <w:color w:val="990000"/>
        </w:rPr>
      </w:pPr>
      <w:r w:rsidRPr="00E169BE">
        <w:rPr>
          <w:color w:val="990000"/>
        </w:rPr>
        <w:t xml:space="preserve">Reference the university website for cancellations/delays due to weather or other unforeseen events at the </w:t>
      </w:r>
      <w:hyperlink r:id="rId16" w:history="1">
        <w:r w:rsidRPr="00E169BE">
          <w:rPr>
            <w:rStyle w:val="Hyperlink"/>
            <w:color w:val="990000"/>
          </w:rPr>
          <w:t>UB Alert</w:t>
        </w:r>
      </w:hyperlink>
      <w:r w:rsidRPr="00E169BE">
        <w:rPr>
          <w:color w:val="990000"/>
        </w:rPr>
        <w:t xml:space="preserve"> page.</w:t>
      </w:r>
    </w:p>
    <w:p w14:paraId="3F337BF0" w14:textId="77777777" w:rsidR="00343643" w:rsidRPr="00F2358E" w:rsidRDefault="00343643" w:rsidP="00F2358E">
      <w:pPr>
        <w:pStyle w:val="Heading3"/>
        <w:rPr>
          <w:rStyle w:val="BookTitle"/>
          <w:rFonts w:ascii="Times New Roman" w:eastAsia="Times" w:hAnsi="Times New Roman" w:cs="Times New Roman"/>
          <w:b/>
          <w:bCs w:val="0"/>
          <w:smallCaps w:val="0"/>
          <w:u w:val="none"/>
        </w:rPr>
      </w:pPr>
      <w:r w:rsidRPr="00F2358E">
        <w:rPr>
          <w:rStyle w:val="BookTitle"/>
          <w:rFonts w:ascii="Times New Roman" w:eastAsia="Times" w:hAnsi="Times New Roman" w:cs="Times New Roman"/>
          <w:b/>
          <w:bCs w:val="0"/>
          <w:smallCaps w:val="0"/>
          <w:u w:val="none"/>
        </w:rPr>
        <w:t>Instructor and Course Support Staff Information</w:t>
      </w:r>
    </w:p>
    <w:p w14:paraId="35268B6B" w14:textId="77777777" w:rsidR="00343643" w:rsidRPr="00E169BE" w:rsidRDefault="00343643" w:rsidP="00F2358E">
      <w:pPr>
        <w:pStyle w:val="Normal0"/>
        <w:numPr>
          <w:ilvl w:val="0"/>
          <w:numId w:val="21"/>
        </w:numPr>
        <w:rPr>
          <w:color w:val="990000"/>
        </w:rPr>
      </w:pPr>
      <w:r w:rsidRPr="00E169BE">
        <w:rPr>
          <w:color w:val="990000"/>
        </w:rPr>
        <w:t xml:space="preserve">Relevant professional information and/or teaching philosophy. </w:t>
      </w:r>
    </w:p>
    <w:p w14:paraId="22BF4A8F" w14:textId="77777777" w:rsidR="00343643" w:rsidRPr="00E169BE" w:rsidRDefault="00343643" w:rsidP="00F2358E">
      <w:pPr>
        <w:pStyle w:val="Normal0"/>
        <w:numPr>
          <w:ilvl w:val="0"/>
          <w:numId w:val="21"/>
        </w:numPr>
        <w:rPr>
          <w:color w:val="990000"/>
        </w:rPr>
      </w:pPr>
      <w:r w:rsidRPr="00E169BE">
        <w:rPr>
          <w:color w:val="990000"/>
        </w:rPr>
        <w:t>Roles and responsibilities of course support staff (i.e., TAs/GAs).</w:t>
      </w:r>
    </w:p>
    <w:p w14:paraId="1F9C1CC1" w14:textId="77777777" w:rsidR="00343643" w:rsidRPr="00F2358E" w:rsidRDefault="00343643" w:rsidP="00F2358E">
      <w:pPr>
        <w:pStyle w:val="Heading3"/>
        <w:rPr>
          <w:rStyle w:val="BookTitle"/>
          <w:rFonts w:ascii="Times New Roman" w:eastAsia="Times" w:hAnsi="Times New Roman" w:cs="Times New Roman"/>
          <w:b/>
          <w:bCs w:val="0"/>
          <w:smallCaps w:val="0"/>
          <w:u w:val="none"/>
        </w:rPr>
      </w:pPr>
      <w:r w:rsidRPr="00F2358E">
        <w:rPr>
          <w:rStyle w:val="BookTitle"/>
          <w:rFonts w:ascii="Times New Roman" w:eastAsia="Times" w:hAnsi="Times New Roman" w:cs="Times New Roman"/>
          <w:b/>
          <w:bCs w:val="0"/>
          <w:smallCaps w:val="0"/>
          <w:u w:val="none"/>
        </w:rPr>
        <w:t>Classroom Decorum</w:t>
      </w:r>
    </w:p>
    <w:p w14:paraId="4307D28F" w14:textId="77777777" w:rsidR="00343643" w:rsidRPr="00E169BE" w:rsidRDefault="00343643" w:rsidP="00F2358E">
      <w:pPr>
        <w:pStyle w:val="Normal0"/>
        <w:rPr>
          <w:color w:val="990000"/>
        </w:rPr>
      </w:pPr>
      <w:r w:rsidRPr="00E169BE">
        <w:rPr>
          <w:color w:val="990000"/>
        </w:rPr>
        <w:t>Discussion of classroom expectations, for example tardiness, and/or use of cell phones and laptops.</w:t>
      </w:r>
    </w:p>
    <w:p w14:paraId="1E258581" w14:textId="77777777" w:rsidR="00343643" w:rsidRPr="00F2358E" w:rsidRDefault="00343643" w:rsidP="0067675A">
      <w:pPr>
        <w:pStyle w:val="Heading2"/>
        <w:rPr>
          <w:rStyle w:val="BookTitle"/>
          <w:rFonts w:ascii="Times New Roman" w:eastAsia="Times" w:hAnsi="Times New Roman" w:cs="Times New Roman"/>
          <w:b/>
          <w:bCs w:val="0"/>
          <w:smallCaps w:val="0"/>
          <w:color w:val="212121"/>
          <w:u w:val="none"/>
        </w:rPr>
      </w:pPr>
      <w:r w:rsidRPr="00F2358E">
        <w:rPr>
          <w:rStyle w:val="BookTitle"/>
          <w:rFonts w:ascii="Times New Roman" w:eastAsia="Times" w:hAnsi="Times New Roman" w:cs="Times New Roman"/>
          <w:b/>
          <w:bCs w:val="0"/>
          <w:smallCaps w:val="0"/>
          <w:color w:val="212121"/>
          <w:u w:val="none"/>
        </w:rPr>
        <w:t>University Support Services</w:t>
      </w:r>
    </w:p>
    <w:p w14:paraId="207F5944" w14:textId="77777777" w:rsidR="00A76912" w:rsidRPr="00E169BE" w:rsidRDefault="00343643" w:rsidP="00F2358E">
      <w:pPr>
        <w:pStyle w:val="Normal0"/>
        <w:rPr>
          <w:color w:val="990000"/>
        </w:rPr>
      </w:pPr>
      <w:r w:rsidRPr="00E169BE">
        <w:rPr>
          <w:color w:val="990000"/>
        </w:rPr>
        <w:t>Students are often unaware of university support services. For example, the Center for Excellence in Writing provides support for written work, and several tutoring centers on campus provide academic success support and resources.</w:t>
      </w:r>
    </w:p>
    <w:sectPr w:rsidR="00A76912" w:rsidRPr="00E169BE">
      <w:footerReference w:type="even" r:id="rId17"/>
      <w:footerReference w:type="default" r:id="rId18"/>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3062F" w14:textId="77777777" w:rsidR="006D31E7" w:rsidRDefault="006D31E7">
      <w:r>
        <w:separator/>
      </w:r>
    </w:p>
  </w:endnote>
  <w:endnote w:type="continuationSeparator" w:id="0">
    <w:p w14:paraId="7900EF18" w14:textId="77777777" w:rsidR="006D31E7" w:rsidRDefault="006D3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D8D15" w14:textId="77777777" w:rsidR="003B72C2" w:rsidRDefault="003B72C2" w:rsidP="00F2358E">
    <w:pPr>
      <w:pStyle w:val="Normal0"/>
    </w:pPr>
    <w:r>
      <w:fldChar w:fldCharType="begin"/>
    </w:r>
    <w:r>
      <w:instrText>PAGE</w:instrText>
    </w:r>
    <w:r>
      <w:fldChar w:fldCharType="end"/>
    </w:r>
  </w:p>
  <w:p w14:paraId="6FCA5025" w14:textId="77777777" w:rsidR="003B72C2" w:rsidRDefault="003B72C2" w:rsidP="00F2358E">
    <w:pPr>
      <w:pStyle w:val="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1107C" w14:textId="77777777" w:rsidR="003B72C2" w:rsidRDefault="003B72C2" w:rsidP="00F2358E">
    <w:pPr>
      <w:pStyle w:val="Normal0"/>
    </w:pPr>
    <w:r>
      <w:fldChar w:fldCharType="begin"/>
    </w:r>
    <w:r>
      <w:instrText>PAGE</w:instrText>
    </w:r>
    <w:r>
      <w:fldChar w:fldCharType="separate"/>
    </w:r>
    <w:r w:rsidR="00860997">
      <w:rPr>
        <w:noProof/>
      </w:rPr>
      <w:t>4</w:t>
    </w:r>
    <w:r>
      <w:fldChar w:fldCharType="end"/>
    </w:r>
  </w:p>
  <w:p w14:paraId="2CA25FC8" w14:textId="77777777" w:rsidR="004E49DD" w:rsidRPr="00E169BE" w:rsidRDefault="004E49DD" w:rsidP="004E49DD">
    <w:pPr>
      <w:pStyle w:val="Footer"/>
      <w:pBdr>
        <w:top w:val="single" w:sz="4" w:space="1" w:color="auto"/>
      </w:pBdr>
      <w:rPr>
        <w:rFonts w:ascii="Times New Roman" w:hAnsi="Times New Roman" w:cs="Times New Roman"/>
        <w:color w:val="990000"/>
        <w:sz w:val="18"/>
        <w:szCs w:val="18"/>
      </w:rPr>
    </w:pPr>
    <w:r w:rsidRPr="00E169BE">
      <w:rPr>
        <w:rFonts w:ascii="Times New Roman" w:hAnsi="Times New Roman" w:cs="Times New Roman"/>
        <w:color w:val="990000"/>
        <w:sz w:val="18"/>
        <w:szCs w:val="18"/>
      </w:rPr>
      <w:t>Departments/programs may have additional requirements and/or may outline a particular format for the syllabus, so faculty should also check to make sure there are not additional guidelines they must follow.</w:t>
    </w:r>
  </w:p>
  <w:p w14:paraId="6C414383" w14:textId="77777777" w:rsidR="004E49DD" w:rsidRPr="004E49DD" w:rsidRDefault="004E49DD" w:rsidP="004E49DD">
    <w:pPr>
      <w:pStyle w:val="Footer"/>
      <w:rPr>
        <w:rFonts w:ascii="Times New Roman" w:hAnsi="Times New Roman" w:cs="Times New Roman"/>
        <w:sz w:val="18"/>
        <w:szCs w:val="18"/>
      </w:rPr>
    </w:pPr>
    <w:r w:rsidRPr="004E49DD">
      <w:rPr>
        <w:rFonts w:ascii="Times New Roman" w:hAnsi="Times New Roman" w:cs="Times New Roman"/>
        <w:sz w:val="18"/>
        <w:szCs w:val="18"/>
      </w:rPr>
      <w:t>* Undergraduate Only</w:t>
    </w:r>
  </w:p>
  <w:p w14:paraId="1EC7D9D9" w14:textId="77777777" w:rsidR="004E49DD" w:rsidRPr="004E49DD" w:rsidRDefault="004E49DD" w:rsidP="004E49DD">
    <w:pPr>
      <w:pStyle w:val="Footer"/>
      <w:rPr>
        <w:rFonts w:ascii="Times New Roman" w:hAnsi="Times New Roman" w:cs="Times New Roman"/>
        <w:sz w:val="18"/>
        <w:szCs w:val="18"/>
      </w:rPr>
    </w:pPr>
    <w:r w:rsidRPr="004E49DD">
      <w:rPr>
        <w:rFonts w:ascii="Times New Roman" w:hAnsi="Times New Roman" w:cs="Times New Roman"/>
        <w:sz w:val="18"/>
        <w:szCs w:val="18"/>
      </w:rPr>
      <w:t>** Graduate Only</w:t>
    </w:r>
  </w:p>
  <w:p w14:paraId="73FD2AFA" w14:textId="77777777" w:rsidR="003B72C2" w:rsidRDefault="003B72C2" w:rsidP="00F2358E">
    <w:pPr>
      <w:pStyle w:val="Norm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6AE28" w14:textId="77777777" w:rsidR="006D31E7" w:rsidRDefault="006D31E7">
      <w:r>
        <w:separator/>
      </w:r>
    </w:p>
  </w:footnote>
  <w:footnote w:type="continuationSeparator" w:id="0">
    <w:p w14:paraId="48341FC1" w14:textId="77777777" w:rsidR="006D31E7" w:rsidRDefault="006D31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CBB"/>
    <w:multiLevelType w:val="hybridMultilevel"/>
    <w:tmpl w:val="33A0C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90E60"/>
    <w:multiLevelType w:val="multilevel"/>
    <w:tmpl w:val="3580F3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2422D35"/>
    <w:multiLevelType w:val="hybridMultilevel"/>
    <w:tmpl w:val="177650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DE34CD"/>
    <w:multiLevelType w:val="hybridMultilevel"/>
    <w:tmpl w:val="A58A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951498"/>
    <w:multiLevelType w:val="hybridMultilevel"/>
    <w:tmpl w:val="D440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7078AE"/>
    <w:multiLevelType w:val="multilevel"/>
    <w:tmpl w:val="1BFCE6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DF8745B"/>
    <w:multiLevelType w:val="hybridMultilevel"/>
    <w:tmpl w:val="4B50C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930981"/>
    <w:multiLevelType w:val="hybridMultilevel"/>
    <w:tmpl w:val="8C12F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734032"/>
    <w:multiLevelType w:val="multilevel"/>
    <w:tmpl w:val="207822C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34B4149A"/>
    <w:multiLevelType w:val="hybridMultilevel"/>
    <w:tmpl w:val="02E8E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17F80"/>
    <w:multiLevelType w:val="hybridMultilevel"/>
    <w:tmpl w:val="2EDAB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0A79A7"/>
    <w:multiLevelType w:val="hybridMultilevel"/>
    <w:tmpl w:val="A2E84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A65080"/>
    <w:multiLevelType w:val="hybridMultilevel"/>
    <w:tmpl w:val="FB827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633CC3"/>
    <w:multiLevelType w:val="hybridMultilevel"/>
    <w:tmpl w:val="A16A0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43F59"/>
    <w:multiLevelType w:val="hybridMultilevel"/>
    <w:tmpl w:val="D76E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B305C1"/>
    <w:multiLevelType w:val="hybridMultilevel"/>
    <w:tmpl w:val="F26EF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D10FE6"/>
    <w:multiLevelType w:val="multilevel"/>
    <w:tmpl w:val="51742F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B7C7438"/>
    <w:multiLevelType w:val="hybridMultilevel"/>
    <w:tmpl w:val="34249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EC2962"/>
    <w:multiLevelType w:val="multilevel"/>
    <w:tmpl w:val="9CFCE48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77FB2EA9"/>
    <w:multiLevelType w:val="multilevel"/>
    <w:tmpl w:val="7B669A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F2F002F"/>
    <w:multiLevelType w:val="hybridMultilevel"/>
    <w:tmpl w:val="6A828BD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2669791">
    <w:abstractNumId w:val="16"/>
  </w:num>
  <w:num w:numId="2" w16cid:durableId="1126000819">
    <w:abstractNumId w:val="18"/>
  </w:num>
  <w:num w:numId="3" w16cid:durableId="587422498">
    <w:abstractNumId w:val="1"/>
  </w:num>
  <w:num w:numId="4" w16cid:durableId="1225943463">
    <w:abstractNumId w:val="19"/>
  </w:num>
  <w:num w:numId="5" w16cid:durableId="1044134535">
    <w:abstractNumId w:val="5"/>
  </w:num>
  <w:num w:numId="6" w16cid:durableId="15497607">
    <w:abstractNumId w:val="8"/>
  </w:num>
  <w:num w:numId="7" w16cid:durableId="2037391005">
    <w:abstractNumId w:val="14"/>
  </w:num>
  <w:num w:numId="8" w16cid:durableId="298001839">
    <w:abstractNumId w:val="20"/>
  </w:num>
  <w:num w:numId="9" w16cid:durableId="1146893985">
    <w:abstractNumId w:val="6"/>
  </w:num>
  <w:num w:numId="10" w16cid:durableId="1063412430">
    <w:abstractNumId w:val="17"/>
  </w:num>
  <w:num w:numId="11" w16cid:durableId="1825395445">
    <w:abstractNumId w:val="10"/>
  </w:num>
  <w:num w:numId="12" w16cid:durableId="51780651">
    <w:abstractNumId w:val="15"/>
  </w:num>
  <w:num w:numId="13" w16cid:durableId="738862790">
    <w:abstractNumId w:val="3"/>
  </w:num>
  <w:num w:numId="14" w16cid:durableId="350644729">
    <w:abstractNumId w:val="2"/>
  </w:num>
  <w:num w:numId="15" w16cid:durableId="1008603143">
    <w:abstractNumId w:val="4"/>
  </w:num>
  <w:num w:numId="16" w16cid:durableId="596258080">
    <w:abstractNumId w:val="11"/>
  </w:num>
  <w:num w:numId="17" w16cid:durableId="637606967">
    <w:abstractNumId w:val="0"/>
  </w:num>
  <w:num w:numId="18" w16cid:durableId="670718802">
    <w:abstractNumId w:val="7"/>
  </w:num>
  <w:num w:numId="19" w16cid:durableId="730271839">
    <w:abstractNumId w:val="12"/>
  </w:num>
  <w:num w:numId="20" w16cid:durableId="1317143955">
    <w:abstractNumId w:val="13"/>
  </w:num>
  <w:num w:numId="21" w16cid:durableId="599336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U0MzY1MzU3NTMzMTBR0lEKTi0uzszPAykwqgUAHePe9iwAAAA="/>
  </w:docVars>
  <w:rsids>
    <w:rsidRoot w:val="006D31E7"/>
    <w:rsid w:val="001056CC"/>
    <w:rsid w:val="00115621"/>
    <w:rsid w:val="00124119"/>
    <w:rsid w:val="00126344"/>
    <w:rsid w:val="001960C2"/>
    <w:rsid w:val="001A7BA2"/>
    <w:rsid w:val="001B1527"/>
    <w:rsid w:val="0025355B"/>
    <w:rsid w:val="002536AB"/>
    <w:rsid w:val="00254656"/>
    <w:rsid w:val="00292335"/>
    <w:rsid w:val="00343643"/>
    <w:rsid w:val="00376F36"/>
    <w:rsid w:val="003A474D"/>
    <w:rsid w:val="003B72C2"/>
    <w:rsid w:val="00417C66"/>
    <w:rsid w:val="004D1689"/>
    <w:rsid w:val="004E49DD"/>
    <w:rsid w:val="0053714D"/>
    <w:rsid w:val="00601DF4"/>
    <w:rsid w:val="0067675A"/>
    <w:rsid w:val="006A1F53"/>
    <w:rsid w:val="006D31E7"/>
    <w:rsid w:val="00720126"/>
    <w:rsid w:val="00722CF0"/>
    <w:rsid w:val="007D2286"/>
    <w:rsid w:val="007D2AB6"/>
    <w:rsid w:val="007E35CD"/>
    <w:rsid w:val="00852E0E"/>
    <w:rsid w:val="00860997"/>
    <w:rsid w:val="0092492D"/>
    <w:rsid w:val="0096550D"/>
    <w:rsid w:val="00983280"/>
    <w:rsid w:val="009B754B"/>
    <w:rsid w:val="009E723F"/>
    <w:rsid w:val="00A201AD"/>
    <w:rsid w:val="00A31755"/>
    <w:rsid w:val="00A41EC6"/>
    <w:rsid w:val="00A76912"/>
    <w:rsid w:val="00AE00E7"/>
    <w:rsid w:val="00B171E1"/>
    <w:rsid w:val="00B54EE7"/>
    <w:rsid w:val="00B875ED"/>
    <w:rsid w:val="00BF7263"/>
    <w:rsid w:val="00C2583D"/>
    <w:rsid w:val="00C47438"/>
    <w:rsid w:val="00CC4FED"/>
    <w:rsid w:val="00D15FD3"/>
    <w:rsid w:val="00E169BE"/>
    <w:rsid w:val="00E54F30"/>
    <w:rsid w:val="00E933B4"/>
    <w:rsid w:val="00EB7FB3"/>
    <w:rsid w:val="00F1729D"/>
    <w:rsid w:val="00F2358E"/>
    <w:rsid w:val="00FA1F48"/>
    <w:rsid w:val="00FB4BD2"/>
    <w:rsid w:val="3AEFCE8A"/>
    <w:rsid w:val="42838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502D8"/>
  <w15:docId w15:val="{BE51CF76-613D-427A-B372-D601DC2C6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Garamond" w:hAnsi="Garamond" w:cs="Garamond"/>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58E"/>
    <w:rPr>
      <w:rFonts w:eastAsiaTheme="minorHAnsi"/>
    </w:rPr>
  </w:style>
  <w:style w:type="paragraph" w:styleId="Heading1">
    <w:name w:val="heading 1"/>
    <w:basedOn w:val="Normal"/>
    <w:next w:val="Normal"/>
    <w:link w:val="Heading1Char"/>
    <w:uiPriority w:val="9"/>
    <w:qFormat/>
    <w:rsid w:val="00F2358E"/>
    <w:pPr>
      <w:keepNext/>
      <w:keepLines/>
      <w:spacing w:before="480" w:after="120"/>
      <w:jc w:val="center"/>
      <w:outlineLvl w:val="0"/>
    </w:pPr>
    <w:rPr>
      <w:rFonts w:ascii="Times" w:eastAsia="Garamond" w:hAnsi="Times" w:cs="Times"/>
      <w:b/>
      <w:sz w:val="36"/>
      <w:szCs w:val="48"/>
    </w:rPr>
  </w:style>
  <w:style w:type="paragraph" w:styleId="Heading2">
    <w:name w:val="heading 2"/>
    <w:basedOn w:val="Normal"/>
    <w:next w:val="Normal"/>
    <w:link w:val="Heading2Char"/>
    <w:uiPriority w:val="9"/>
    <w:unhideWhenUsed/>
    <w:qFormat/>
    <w:rsid w:val="00F2358E"/>
    <w:pPr>
      <w:spacing w:after="120"/>
      <w:outlineLvl w:val="1"/>
    </w:pPr>
    <w:rPr>
      <w:rFonts w:ascii="Times New Roman" w:eastAsia="Times" w:hAnsi="Times New Roman" w:cs="Times New Roman"/>
      <w:b/>
      <w:color w:val="212121"/>
      <w:sz w:val="28"/>
      <w:shd w:val="clear" w:color="auto" w:fill="FFFFFF"/>
    </w:rPr>
  </w:style>
  <w:style w:type="paragraph" w:styleId="Heading3">
    <w:name w:val="heading 3"/>
    <w:basedOn w:val="Normal"/>
    <w:next w:val="Normal"/>
    <w:link w:val="Heading3Char"/>
    <w:uiPriority w:val="9"/>
    <w:unhideWhenUsed/>
    <w:qFormat/>
    <w:rsid w:val="00F2358E"/>
    <w:pPr>
      <w:spacing w:before="120" w:after="120"/>
      <w:outlineLvl w:val="2"/>
    </w:pPr>
    <w:rPr>
      <w:rFonts w:ascii="Times New Roman" w:eastAsia="Times" w:hAnsi="Times New Roman" w:cs="Times New Roman"/>
      <w:b/>
      <w:szCs w:val="22"/>
    </w:rPr>
  </w:style>
  <w:style w:type="paragraph" w:styleId="Heading4">
    <w:name w:val="heading 4"/>
    <w:basedOn w:val="Normal"/>
    <w:next w:val="Normal"/>
    <w:link w:val="Heading4Char"/>
    <w:uiPriority w:val="9"/>
    <w:unhideWhenUsed/>
    <w:qFormat/>
    <w:rsid w:val="00F2358E"/>
    <w:pPr>
      <w:keepNext/>
      <w:keepLines/>
      <w:widowControl w:val="0"/>
      <w:autoSpaceDE w:val="0"/>
      <w:autoSpaceDN w:val="0"/>
      <w:spacing w:before="240" w:after="120"/>
      <w:ind w:left="360"/>
      <w:outlineLvl w:val="3"/>
    </w:pPr>
    <w:rPr>
      <w:rFonts w:ascii="Georgia" w:eastAsiaTheme="majorEastAsia" w:hAnsi="Georgia" w:cstheme="majorBidi"/>
      <w:b/>
      <w:iCs/>
      <w:color w:val="000000" w:themeColor="text1"/>
      <w:sz w:val="28"/>
      <w:lang w:bidi="en-US"/>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Normal0">
    <w:name w:val="Normal0"/>
    <w:qFormat/>
    <w:rsid w:val="00126344"/>
    <w:pPr>
      <w:spacing w:after="120"/>
    </w:pPr>
    <w:rPr>
      <w:rFonts w:ascii="Times New Roman" w:eastAsia="Times" w:hAnsi="Times New Roman" w:cs="Times New Roman"/>
      <w:sz w:val="22"/>
    </w:rPr>
  </w:style>
  <w:style w:type="table" w:customStyle="1" w:styleId="NormalTable0">
    <w:name w:val="Normal Table0"/>
    <w:uiPriority w:val="99"/>
    <w:semiHidden/>
    <w:unhideWhenUsed/>
    <w:rsid w:val="00F2358E"/>
    <w:tblPr>
      <w:tblInd w:w="0" w:type="dxa"/>
      <w:tblCellMar>
        <w:top w:w="0" w:type="dxa"/>
        <w:left w:w="108" w:type="dxa"/>
        <w:bottom w:w="0" w:type="dxa"/>
        <w:right w:w="108" w:type="dxa"/>
      </w:tblCellMar>
    </w:tblPr>
  </w:style>
  <w:style w:type="paragraph" w:styleId="ListParagraph">
    <w:name w:val="List Paragraph"/>
    <w:basedOn w:val="Normal"/>
    <w:uiPriority w:val="1"/>
    <w:qFormat/>
    <w:rsid w:val="00F2358E"/>
    <w:pPr>
      <w:widowControl w:val="0"/>
      <w:autoSpaceDE w:val="0"/>
      <w:autoSpaceDN w:val="0"/>
      <w:ind w:left="1652" w:hanging="344"/>
    </w:pPr>
    <w:rPr>
      <w:rFonts w:ascii="Arial" w:eastAsia="Arial" w:hAnsi="Arial" w:cs="Arial"/>
      <w:lang w:bidi="en-US"/>
    </w:rPr>
  </w:style>
  <w:style w:type="paragraph" w:customStyle="1" w:styleId="BodyA">
    <w:name w:val="Body A"/>
    <w:rsid w:val="00904851"/>
    <w:pPr>
      <w:pBdr>
        <w:top w:val="nil"/>
        <w:left w:val="nil"/>
        <w:bottom w:val="nil"/>
        <w:right w:val="nil"/>
        <w:between w:val="nil"/>
        <w:bar w:val="nil"/>
      </w:pBdr>
    </w:pPr>
    <w:rPr>
      <w:rFonts w:ascii="Helvetica" w:eastAsia="Arial Unicode MS" w:hAnsi="Arial Unicode MS" w:cs="Arial Unicode MS"/>
      <w:color w:val="000000"/>
      <w:bdr w:val="nil"/>
    </w:rPr>
  </w:style>
  <w:style w:type="character" w:styleId="Hyperlink">
    <w:name w:val="Hyperlink"/>
    <w:basedOn w:val="DefaultParagraphFont"/>
    <w:uiPriority w:val="99"/>
    <w:unhideWhenUsed/>
    <w:rsid w:val="00F2358E"/>
    <w:rPr>
      <w:color w:val="0563C1" w:themeColor="hyperlink"/>
      <w:u w:val="single"/>
    </w:rPr>
  </w:style>
  <w:style w:type="table" w:styleId="TableGrid">
    <w:name w:val="Table Grid"/>
    <w:basedOn w:val="TableNormal"/>
    <w:uiPriority w:val="39"/>
    <w:rsid w:val="00F2358E"/>
    <w:pPr>
      <w:widowControl w:val="0"/>
      <w:autoSpaceDE w:val="0"/>
      <w:autoSpaceDN w:val="0"/>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0"/>
    <w:link w:val="NoSpacingChar"/>
    <w:uiPriority w:val="1"/>
    <w:qFormat/>
    <w:rsid w:val="00904851"/>
    <w:rPr>
      <w:szCs w:val="22"/>
      <w:lang w:eastAsia="zh-CN"/>
    </w:rPr>
  </w:style>
  <w:style w:type="character" w:customStyle="1" w:styleId="NoSpacingChar">
    <w:name w:val="No Spacing Char"/>
    <w:basedOn w:val="DefaultParagraphFont"/>
    <w:link w:val="NoSpacing"/>
    <w:uiPriority w:val="1"/>
    <w:rsid w:val="00904851"/>
    <w:rPr>
      <w:rFonts w:eastAsiaTheme="minorEastAsia"/>
      <w:lang w:eastAsia="zh-CN"/>
    </w:rPr>
  </w:style>
  <w:style w:type="character" w:customStyle="1" w:styleId="citationtext">
    <w:name w:val="citation_text"/>
    <w:basedOn w:val="DefaultParagraphFont"/>
    <w:rsid w:val="00904851"/>
  </w:style>
  <w:style w:type="paragraph" w:styleId="Footer">
    <w:name w:val="footer"/>
    <w:basedOn w:val="Normal"/>
    <w:link w:val="FooterChar"/>
    <w:uiPriority w:val="99"/>
    <w:unhideWhenUsed/>
    <w:rsid w:val="00F2358E"/>
    <w:pPr>
      <w:widowControl w:val="0"/>
      <w:tabs>
        <w:tab w:val="center" w:pos="4680"/>
        <w:tab w:val="right" w:pos="9360"/>
      </w:tabs>
      <w:autoSpaceDE w:val="0"/>
      <w:autoSpaceDN w:val="0"/>
    </w:pPr>
    <w:rPr>
      <w:rFonts w:ascii="Arial" w:eastAsia="Arial" w:hAnsi="Arial" w:cs="Arial"/>
      <w:lang w:bidi="en-US"/>
    </w:rPr>
  </w:style>
  <w:style w:type="character" w:customStyle="1" w:styleId="FooterChar">
    <w:name w:val="Footer Char"/>
    <w:basedOn w:val="DefaultParagraphFont"/>
    <w:link w:val="Footer"/>
    <w:uiPriority w:val="99"/>
    <w:rsid w:val="00F2358E"/>
    <w:rPr>
      <w:rFonts w:ascii="Arial" w:eastAsia="Arial" w:hAnsi="Arial" w:cs="Arial"/>
      <w:lang w:bidi="en-US"/>
    </w:rPr>
  </w:style>
  <w:style w:type="character" w:styleId="PageNumber">
    <w:name w:val="page number"/>
    <w:basedOn w:val="DefaultParagraphFont"/>
    <w:uiPriority w:val="99"/>
    <w:semiHidden/>
    <w:unhideWhenUsed/>
    <w:rsid w:val="00904851"/>
  </w:style>
  <w:style w:type="paragraph" w:styleId="Subtitle">
    <w:name w:val="Subtitle"/>
    <w:basedOn w:val="Normal0"/>
    <w:next w:val="Normal0"/>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NormalTable0"/>
    <w:tblPr>
      <w:tblStyleRowBandSize w:val="1"/>
      <w:tblStyleColBandSize w:val="1"/>
    </w:tblPr>
  </w:style>
  <w:style w:type="table" w:customStyle="1" w:styleId="3">
    <w:name w:val="3"/>
    <w:basedOn w:val="NormalTable0"/>
    <w:tblPr>
      <w:tblStyleRowBandSize w:val="1"/>
      <w:tblStyleColBandSize w:val="1"/>
    </w:tblPr>
  </w:style>
  <w:style w:type="table" w:customStyle="1" w:styleId="2">
    <w:name w:val="2"/>
    <w:basedOn w:val="NormalTable0"/>
    <w:tblPr>
      <w:tblStyleRowBandSize w:val="1"/>
      <w:tblStyleColBandSize w:val="1"/>
    </w:tblPr>
  </w:style>
  <w:style w:type="table" w:customStyle="1" w:styleId="1">
    <w:name w:val="1"/>
    <w:basedOn w:val="NormalTable0"/>
    <w:tblPr>
      <w:tblStyleRowBandSize w:val="1"/>
      <w:tblStyleColBandSize w:val="1"/>
    </w:tblPr>
  </w:style>
  <w:style w:type="character" w:styleId="Strong">
    <w:name w:val="Strong"/>
    <w:basedOn w:val="DefaultParagraphFont"/>
    <w:uiPriority w:val="22"/>
    <w:qFormat/>
    <w:rsid w:val="0025355B"/>
    <w:rPr>
      <w:b/>
      <w:bCs/>
    </w:rPr>
  </w:style>
  <w:style w:type="character" w:customStyle="1" w:styleId="UnresolvedMention1">
    <w:name w:val="Unresolved Mention1"/>
    <w:basedOn w:val="DefaultParagraphFont"/>
    <w:uiPriority w:val="99"/>
    <w:semiHidden/>
    <w:unhideWhenUsed/>
    <w:rsid w:val="00115621"/>
    <w:rPr>
      <w:color w:val="605E5C"/>
      <w:shd w:val="clear" w:color="auto" w:fill="E1DFDD"/>
    </w:rPr>
  </w:style>
  <w:style w:type="character" w:styleId="IntenseEmphasis">
    <w:name w:val="Intense Emphasis"/>
    <w:uiPriority w:val="21"/>
    <w:qFormat/>
    <w:rsid w:val="00343643"/>
    <w:rPr>
      <w:b/>
      <w:bCs/>
      <w:i/>
      <w:iCs/>
      <w:color w:val="auto"/>
      <w:u w:val="single"/>
    </w:rPr>
  </w:style>
  <w:style w:type="character" w:styleId="BookTitle">
    <w:name w:val="Book Title"/>
    <w:uiPriority w:val="33"/>
    <w:qFormat/>
    <w:rsid w:val="00343643"/>
    <w:rPr>
      <w:rFonts w:asciiTheme="majorHAnsi" w:eastAsiaTheme="majorEastAsia" w:hAnsiTheme="majorHAnsi" w:cstheme="majorBidi"/>
      <w:b/>
      <w:bCs/>
      <w:smallCaps/>
      <w:color w:val="auto"/>
      <w:u w:val="single"/>
    </w:rPr>
  </w:style>
  <w:style w:type="character" w:customStyle="1" w:styleId="TitleChar">
    <w:name w:val="Title Char"/>
    <w:basedOn w:val="DefaultParagraphFont"/>
    <w:link w:val="Title"/>
    <w:uiPriority w:val="10"/>
    <w:rsid w:val="00343643"/>
    <w:rPr>
      <w:b/>
      <w:sz w:val="72"/>
      <w:szCs w:val="72"/>
    </w:rPr>
  </w:style>
  <w:style w:type="character" w:styleId="SubtleEmphasis">
    <w:name w:val="Subtle Emphasis"/>
    <w:uiPriority w:val="19"/>
    <w:qFormat/>
    <w:rsid w:val="00343643"/>
    <w:rPr>
      <w:i/>
      <w:iCs/>
      <w:color w:val="5A5A5A" w:themeColor="text1" w:themeTint="A5"/>
    </w:rPr>
  </w:style>
  <w:style w:type="table" w:styleId="ListTable3">
    <w:name w:val="List Table 3"/>
    <w:basedOn w:val="TableNormal"/>
    <w:uiPriority w:val="48"/>
    <w:rsid w:val="00343643"/>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odyText">
    <w:name w:val="Body Text"/>
    <w:basedOn w:val="Normal"/>
    <w:link w:val="BodyTextChar"/>
    <w:uiPriority w:val="1"/>
    <w:qFormat/>
    <w:rsid w:val="00F2358E"/>
    <w:pPr>
      <w:widowControl w:val="0"/>
      <w:autoSpaceDE w:val="0"/>
      <w:autoSpaceDN w:val="0"/>
      <w:spacing w:before="120" w:line="276" w:lineRule="auto"/>
      <w:ind w:right="893"/>
    </w:pPr>
    <w:rPr>
      <w:rFonts w:ascii="Arial" w:eastAsia="Arial" w:hAnsi="Arial" w:cs="Arial"/>
      <w:lang w:bidi="en-US"/>
    </w:rPr>
  </w:style>
  <w:style w:type="character" w:customStyle="1" w:styleId="BodyTextChar">
    <w:name w:val="Body Text Char"/>
    <w:basedOn w:val="DefaultParagraphFont"/>
    <w:link w:val="BodyText"/>
    <w:uiPriority w:val="1"/>
    <w:rsid w:val="00F2358E"/>
    <w:rPr>
      <w:rFonts w:ascii="Arial" w:eastAsia="Arial" w:hAnsi="Arial" w:cs="Arial"/>
      <w:lang w:bidi="en-US"/>
    </w:rPr>
  </w:style>
  <w:style w:type="paragraph" w:styleId="Header">
    <w:name w:val="header"/>
    <w:basedOn w:val="Normal"/>
    <w:link w:val="HeaderChar"/>
    <w:uiPriority w:val="99"/>
    <w:unhideWhenUsed/>
    <w:rsid w:val="00F2358E"/>
    <w:pPr>
      <w:widowControl w:val="0"/>
      <w:tabs>
        <w:tab w:val="center" w:pos="4680"/>
        <w:tab w:val="right" w:pos="9360"/>
      </w:tabs>
      <w:autoSpaceDE w:val="0"/>
      <w:autoSpaceDN w:val="0"/>
    </w:pPr>
    <w:rPr>
      <w:rFonts w:ascii="Arial" w:eastAsia="Arial" w:hAnsi="Arial" w:cs="Arial"/>
      <w:lang w:bidi="en-US"/>
    </w:rPr>
  </w:style>
  <w:style w:type="character" w:customStyle="1" w:styleId="HeaderChar">
    <w:name w:val="Header Char"/>
    <w:basedOn w:val="DefaultParagraphFont"/>
    <w:link w:val="Header"/>
    <w:uiPriority w:val="99"/>
    <w:rsid w:val="00F2358E"/>
    <w:rPr>
      <w:rFonts w:ascii="Arial" w:eastAsia="Arial" w:hAnsi="Arial" w:cs="Arial"/>
      <w:lang w:bidi="en-US"/>
    </w:rPr>
  </w:style>
  <w:style w:type="character" w:customStyle="1" w:styleId="Heading1Char">
    <w:name w:val="Heading 1 Char"/>
    <w:basedOn w:val="DefaultParagraphFont"/>
    <w:link w:val="Heading1"/>
    <w:uiPriority w:val="9"/>
    <w:rsid w:val="00F2358E"/>
    <w:rPr>
      <w:rFonts w:ascii="Times" w:hAnsi="Times" w:cs="Times"/>
      <w:b/>
      <w:sz w:val="36"/>
      <w:szCs w:val="48"/>
    </w:rPr>
  </w:style>
  <w:style w:type="character" w:customStyle="1" w:styleId="Heading2Char">
    <w:name w:val="Heading 2 Char"/>
    <w:basedOn w:val="DefaultParagraphFont"/>
    <w:link w:val="Heading2"/>
    <w:uiPriority w:val="9"/>
    <w:rsid w:val="00F2358E"/>
    <w:rPr>
      <w:rFonts w:ascii="Times New Roman" w:eastAsia="Times" w:hAnsi="Times New Roman" w:cs="Times New Roman"/>
      <w:b/>
      <w:color w:val="212121"/>
      <w:sz w:val="28"/>
    </w:rPr>
  </w:style>
  <w:style w:type="character" w:customStyle="1" w:styleId="Heading3Char">
    <w:name w:val="Heading 3 Char"/>
    <w:basedOn w:val="DefaultParagraphFont"/>
    <w:link w:val="Heading3"/>
    <w:uiPriority w:val="9"/>
    <w:rsid w:val="00F2358E"/>
    <w:rPr>
      <w:rFonts w:ascii="Times New Roman" w:eastAsia="Times" w:hAnsi="Times New Roman" w:cs="Times New Roman"/>
      <w:b/>
      <w:szCs w:val="22"/>
    </w:rPr>
  </w:style>
  <w:style w:type="character" w:customStyle="1" w:styleId="Heading4Char">
    <w:name w:val="Heading 4 Char"/>
    <w:basedOn w:val="DefaultParagraphFont"/>
    <w:link w:val="Heading4"/>
    <w:uiPriority w:val="9"/>
    <w:rsid w:val="00F2358E"/>
    <w:rPr>
      <w:rFonts w:ascii="Georgia" w:eastAsiaTheme="majorEastAsia" w:hAnsi="Georgia" w:cstheme="majorBidi"/>
      <w:b/>
      <w:iCs/>
      <w:color w:val="000000" w:themeColor="text1"/>
      <w:sz w:val="28"/>
      <w:lang w:bidi="en-US"/>
    </w:rPr>
  </w:style>
  <w:style w:type="paragraph" w:customStyle="1" w:styleId="TableParagraph">
    <w:name w:val="Table Paragraph"/>
    <w:basedOn w:val="Normal"/>
    <w:uiPriority w:val="1"/>
    <w:qFormat/>
    <w:rsid w:val="00F2358E"/>
    <w:pPr>
      <w:widowControl w:val="0"/>
      <w:autoSpaceDE w:val="0"/>
      <w:autoSpaceDN w:val="0"/>
    </w:pPr>
    <w:rPr>
      <w:rFonts w:ascii="Arial" w:eastAsia="Arial" w:hAnsi="Arial" w:cs="Arial"/>
      <w:lang w:bidi="en-US"/>
    </w:rPr>
  </w:style>
  <w:style w:type="paragraph" w:customStyle="1" w:styleId="ArialParagraph">
    <w:name w:val="Arial_Paragraph"/>
    <w:basedOn w:val="Normal"/>
    <w:qFormat/>
    <w:rsid w:val="00F2358E"/>
    <w:pPr>
      <w:spacing w:after="120"/>
    </w:pPr>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125531">
      <w:bodyDiv w:val="1"/>
      <w:marLeft w:val="0"/>
      <w:marRight w:val="0"/>
      <w:marTop w:val="0"/>
      <w:marBottom w:val="0"/>
      <w:divBdr>
        <w:top w:val="none" w:sz="0" w:space="0" w:color="auto"/>
        <w:left w:val="none" w:sz="0" w:space="0" w:color="auto"/>
        <w:bottom w:val="none" w:sz="0" w:space="0" w:color="auto"/>
        <w:right w:val="none" w:sz="0" w:space="0" w:color="auto"/>
      </w:divBdr>
    </w:div>
    <w:div w:id="1089890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uffalo.edu/equity/obtaining-assistance/sex-discrimination-and-sexual-harassment/sexual-assault--domestic-violence--dating-violence-and-stalking/confidentiality-and-reporting-protocol.html" TargetMode="External"/><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uffalo.edu/studentlife/who-we-are/departments/accessibility.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emergency.buffalo.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atalog.buffalo.edu/policies/integrity.html" TargetMode="External"/><Relationship Id="rId5" Type="http://schemas.openxmlformats.org/officeDocument/2006/relationships/settings" Target="settings.xml"/><Relationship Id="rId15" Type="http://schemas.openxmlformats.org/officeDocument/2006/relationships/hyperlink" Target="https://www.buffalo.edu/ubcurriculum/capstone.html" TargetMode="External"/><Relationship Id="rId10" Type="http://schemas.openxmlformats.org/officeDocument/2006/relationships/hyperlink" Target="https://catalog.buffalo.edu/policies/explanation.html"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ublearns.buffalo.edu/" TargetMode="External"/><Relationship Id="rId14" Type="http://schemas.openxmlformats.org/officeDocument/2006/relationships/hyperlink" Target="https://www.buffalo.edu/equit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v.bostonki\AppData\Local\Microsoft\Windows\INetCache\Content.Outlook\HDPZEGL3\CHD-Math%20and%20Quantitative%20Reasoning%20Syllabu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dCQvps4rYiv3Tt51ZvU43so+YMw==">AMUW2mX4O9Fmp6BkK4U2/s4eAj19CvMrnQivH8BzbUNIhVRqt6wF0E6ViaMAMUXjaireH7xHZmuuW6o+tgvmh9NFIRSrmYjMKDLcDeXokVlY+4kGwtGwERT4N3+ZCq+P7bVA2UgDT/Ch</go:docsCustomData>
</go:gDocsCustomXmlDataStorage>
</file>

<file path=customXml/itemProps1.xml><?xml version="1.0" encoding="utf-8"?>
<ds:datastoreItem xmlns:ds="http://schemas.openxmlformats.org/officeDocument/2006/customXml" ds:itemID="{AA372CA3-C238-4E1D-822E-B7BFEF99DF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CHD-Math and Quantitative Reasoning Syllabus Template</Template>
  <TotalTime>2</TotalTime>
  <Pages>4</Pages>
  <Words>1071</Words>
  <Characters>6335</Characters>
  <Application>Microsoft Office Word</Application>
  <DocSecurity>0</DocSecurity>
  <Lines>253</Lines>
  <Paragraphs>180</Paragraphs>
  <ScaleCrop>false</ScaleCrop>
  <HeadingPairs>
    <vt:vector size="2" baseType="variant">
      <vt:variant>
        <vt:lpstr>Title</vt:lpstr>
      </vt:variant>
      <vt:variant>
        <vt:i4>1</vt:i4>
      </vt:variant>
    </vt:vector>
  </HeadingPairs>
  <TitlesOfParts>
    <vt:vector size="1" baseType="lpstr">
      <vt:lpstr>Math and Qualitative Reasoning</vt:lpstr>
    </vt:vector>
  </TitlesOfParts>
  <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and Qualitative Reasoning</dc:title>
  <dc:subject>math template</dc:subject>
  <dc:creator>Kistka, Boston</dc:creator>
  <cp:keywords>UBC, curriculum, template</cp:keywords>
  <dc:description/>
  <cp:lastModifiedBy>Theresa LeClerc</cp:lastModifiedBy>
  <cp:revision>3</cp:revision>
  <dcterms:created xsi:type="dcterms:W3CDTF">2021-08-24T13:09:00Z</dcterms:created>
  <dcterms:modified xsi:type="dcterms:W3CDTF">2025-11-25T18:04:00Z</dcterms:modified>
  <cp:category>curriculum template</cp:category>
</cp:coreProperties>
</file>